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80" w:rsidRDefault="00833A80" w:rsidP="00833A80"/>
    <w:p w:rsidR="00021B18" w:rsidRDefault="00021B18" w:rsidP="00833A80"/>
    <w:p w:rsidR="00021B18" w:rsidRDefault="00021B18" w:rsidP="00833A80"/>
    <w:p w:rsidR="00752808" w:rsidRDefault="00752808" w:rsidP="00752808">
      <w:pPr>
        <w:keepNext/>
        <w:tabs>
          <w:tab w:val="left" w:pos="750"/>
          <w:tab w:val="center" w:pos="4536"/>
        </w:tabs>
        <w:jc w:val="center"/>
        <w:rPr>
          <w:rFonts w:ascii="Times New Roman" w:hAnsi="Times New Roman" w:cs="Times New Roman"/>
          <w:b/>
          <w:noProof/>
          <w:sz w:val="24"/>
          <w:szCs w:val="24"/>
        </w:rPr>
      </w:pPr>
    </w:p>
    <w:p w:rsidR="00021B18" w:rsidRDefault="00021B18" w:rsidP="00752808">
      <w:pPr>
        <w:keepNext/>
        <w:tabs>
          <w:tab w:val="left" w:pos="750"/>
          <w:tab w:val="center" w:pos="4536"/>
        </w:tabs>
        <w:jc w:val="center"/>
        <w:rPr>
          <w:rFonts w:ascii="Times New Roman" w:hAnsi="Times New Roman" w:cs="Times New Roman"/>
          <w:b/>
          <w:noProof/>
          <w:sz w:val="24"/>
          <w:szCs w:val="24"/>
        </w:rPr>
      </w:pPr>
    </w:p>
    <w:p w:rsidR="00833A80" w:rsidRDefault="00993F1F" w:rsidP="00833A80">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5972810" cy="1339872"/>
            <wp:effectExtent l="0" t="0" r="8890" b="0"/>
            <wp:docPr id="10" name="Resim 1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1339872"/>
                    </a:xfrm>
                    <a:prstGeom prst="rect">
                      <a:avLst/>
                    </a:prstGeom>
                    <a:noFill/>
                    <a:ln>
                      <a:noFill/>
                    </a:ln>
                  </pic:spPr>
                </pic:pic>
              </a:graphicData>
            </a:graphic>
          </wp:inline>
        </w:drawing>
      </w:r>
    </w:p>
    <w:p w:rsidR="00993F1F" w:rsidRDefault="00993F1F" w:rsidP="00833A80">
      <w:pPr>
        <w:rPr>
          <w:rFonts w:ascii="Times New Roman" w:hAnsi="Times New Roman" w:cs="Times New Roman"/>
          <w:b/>
          <w:noProof/>
          <w:sz w:val="24"/>
          <w:szCs w:val="24"/>
        </w:rPr>
      </w:pPr>
    </w:p>
    <w:p w:rsidR="00993F1F" w:rsidRDefault="00993F1F" w:rsidP="00833A80">
      <w:pPr>
        <w:rPr>
          <w:rFonts w:ascii="Times New Roman" w:hAnsi="Times New Roman" w:cs="Times New Roman"/>
          <w:b/>
          <w:noProof/>
          <w:sz w:val="24"/>
          <w:szCs w:val="24"/>
        </w:rPr>
      </w:pPr>
    </w:p>
    <w:p w:rsidR="00833A80" w:rsidRDefault="006A5436" w:rsidP="00833A80">
      <w:pPr>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 xml:space="preserve">Mart </w:t>
      </w:r>
      <w:r w:rsidR="00833A80">
        <w:rPr>
          <w:rFonts w:ascii="Times New Roman" w:hAnsi="Times New Roman" w:cs="Times New Roman"/>
          <w:b/>
          <w:color w:val="1F4E79" w:themeColor="accent1" w:themeShade="80"/>
          <w:sz w:val="40"/>
          <w:szCs w:val="40"/>
        </w:rPr>
        <w:t>201</w:t>
      </w:r>
      <w:r>
        <w:rPr>
          <w:rFonts w:ascii="Times New Roman" w:hAnsi="Times New Roman" w:cs="Times New Roman"/>
          <w:b/>
          <w:color w:val="1F4E79" w:themeColor="accent1" w:themeShade="80"/>
          <w:sz w:val="40"/>
          <w:szCs w:val="40"/>
        </w:rPr>
        <w:t>9</w:t>
      </w:r>
      <w:r w:rsidR="00833A80">
        <w:rPr>
          <w:rFonts w:ascii="Times New Roman" w:hAnsi="Times New Roman" w:cs="Times New Roman"/>
          <w:b/>
          <w:color w:val="1F4E79" w:themeColor="accent1" w:themeShade="80"/>
          <w:sz w:val="40"/>
          <w:szCs w:val="40"/>
        </w:rPr>
        <w:t xml:space="preserve"> </w:t>
      </w:r>
      <w:r>
        <w:rPr>
          <w:rFonts w:ascii="Times New Roman" w:hAnsi="Times New Roman" w:cs="Times New Roman"/>
          <w:b/>
          <w:color w:val="1F4E79" w:themeColor="accent1" w:themeShade="80"/>
          <w:sz w:val="40"/>
          <w:szCs w:val="40"/>
        </w:rPr>
        <w:t xml:space="preserve">Ait </w:t>
      </w:r>
      <w:r w:rsidR="00DB65B1">
        <w:rPr>
          <w:rFonts w:ascii="Times New Roman" w:hAnsi="Times New Roman" w:cs="Times New Roman"/>
          <w:b/>
          <w:color w:val="1F4E79" w:themeColor="accent1" w:themeShade="80"/>
          <w:sz w:val="40"/>
          <w:szCs w:val="40"/>
        </w:rPr>
        <w:t xml:space="preserve">Ekonomik </w:t>
      </w:r>
      <w:r>
        <w:rPr>
          <w:rFonts w:ascii="Times New Roman" w:hAnsi="Times New Roman" w:cs="Times New Roman"/>
          <w:b/>
          <w:color w:val="1F4E79" w:themeColor="accent1" w:themeShade="80"/>
          <w:sz w:val="40"/>
          <w:szCs w:val="40"/>
        </w:rPr>
        <w:t>Veriler</w:t>
      </w:r>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bookmarkStart w:id="0" w:name="_GoBack"/>
      <w:bookmarkEnd w:id="0"/>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801711" w:rsidRDefault="00801711" w:rsidP="00833A80">
      <w:pPr>
        <w:jc w:val="center"/>
        <w:rPr>
          <w:rFonts w:ascii="Times New Roman" w:hAnsi="Times New Roman" w:cs="Times New Roman"/>
          <w:b/>
          <w:color w:val="1F4E79" w:themeColor="accent1" w:themeShade="80"/>
          <w:sz w:val="40"/>
          <w:szCs w:val="40"/>
        </w:rPr>
      </w:pPr>
    </w:p>
    <w:p w:rsidR="00993F1F" w:rsidRDefault="00993F1F" w:rsidP="00833A80">
      <w:pPr>
        <w:jc w:val="center"/>
        <w:rPr>
          <w:rFonts w:ascii="Times New Roman" w:hAnsi="Times New Roman" w:cs="Times New Roman"/>
          <w:b/>
          <w:color w:val="1F4E79" w:themeColor="accent1" w:themeShade="80"/>
          <w:sz w:val="40"/>
          <w:szCs w:val="40"/>
        </w:rPr>
      </w:pPr>
    </w:p>
    <w:p w:rsidR="00993F1F" w:rsidRDefault="00993F1F" w:rsidP="00833A80">
      <w:pPr>
        <w:jc w:val="center"/>
        <w:rPr>
          <w:rFonts w:ascii="Times New Roman" w:hAnsi="Times New Roman" w:cs="Times New Roman"/>
          <w:b/>
          <w:color w:val="1F4E79" w:themeColor="accent1" w:themeShade="80"/>
          <w:sz w:val="40"/>
          <w:szCs w:val="40"/>
        </w:rPr>
      </w:pPr>
    </w:p>
    <w:p w:rsidR="00993F1F" w:rsidRDefault="00993F1F" w:rsidP="00833A80">
      <w:pPr>
        <w:jc w:val="center"/>
        <w:rPr>
          <w:rFonts w:ascii="Times New Roman" w:hAnsi="Times New Roman" w:cs="Times New Roman"/>
          <w:b/>
          <w:color w:val="1F4E79" w:themeColor="accent1" w:themeShade="80"/>
          <w:sz w:val="40"/>
          <w:szCs w:val="40"/>
        </w:rPr>
      </w:pPr>
    </w:p>
    <w:p w:rsidR="00993F1F" w:rsidRDefault="00993F1F" w:rsidP="00833A80">
      <w:pPr>
        <w:jc w:val="center"/>
        <w:rPr>
          <w:rFonts w:ascii="Times New Roman" w:hAnsi="Times New Roman" w:cs="Times New Roman"/>
          <w:b/>
          <w:color w:val="1F4E79" w:themeColor="accent1" w:themeShade="80"/>
          <w:sz w:val="40"/>
          <w:szCs w:val="40"/>
        </w:rPr>
      </w:pPr>
    </w:p>
    <w:tbl>
      <w:tblPr>
        <w:tblW w:w="499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699"/>
        <w:gridCol w:w="3933"/>
      </w:tblGrid>
      <w:tr w:rsidR="00562DDA" w:rsidTr="00021B18">
        <w:trPr>
          <w:trHeight w:val="915"/>
        </w:trPr>
        <w:tc>
          <w:tcPr>
            <w:tcW w:w="5563" w:type="dxa"/>
            <w:vAlign w:val="center"/>
          </w:tcPr>
          <w:p w:rsidR="00562DDA" w:rsidRDefault="00562DDA" w:rsidP="00FC462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lastRenderedPageBreak/>
              <w:t xml:space="preserve">2019 Mart </w:t>
            </w:r>
          </w:p>
          <w:p w:rsidR="00562DDA" w:rsidRPr="00B346D5" w:rsidRDefault="00562DDA" w:rsidP="00FC462C">
            <w:pPr>
              <w:pStyle w:val="stbilgi"/>
              <w:jc w:val="right"/>
              <w:rPr>
                <w:rFonts w:asciiTheme="majorHAnsi" w:eastAsiaTheme="majorEastAsia" w:hAnsiTheme="majorHAnsi" w:cstheme="majorBidi"/>
                <w:b/>
                <w:sz w:val="36"/>
                <w:szCs w:val="36"/>
              </w:rPr>
            </w:pPr>
            <w:r w:rsidRPr="00B346D5">
              <w:rPr>
                <w:rFonts w:asciiTheme="majorHAnsi" w:eastAsiaTheme="majorEastAsia" w:hAnsiTheme="majorHAnsi" w:cstheme="majorBidi"/>
                <w:b/>
                <w:sz w:val="36"/>
                <w:szCs w:val="36"/>
              </w:rPr>
              <w:t>SEKTÖREL GÜVEN ENDEKSLERİ</w:t>
            </w:r>
          </w:p>
        </w:tc>
        <w:tc>
          <w:tcPr>
            <w:tcW w:w="3839" w:type="dxa"/>
          </w:tcPr>
          <w:p w:rsidR="00562DDA" w:rsidRDefault="00562DDA" w:rsidP="00FC462C">
            <w:pPr>
              <w:pStyle w:val="stbilgi"/>
              <w:spacing w:line="276" w:lineRule="auto"/>
              <w:jc w:val="center"/>
              <w:rPr>
                <w:rFonts w:asciiTheme="majorHAnsi" w:eastAsiaTheme="majorEastAsia" w:hAnsiTheme="majorHAnsi" w:cstheme="majorBidi"/>
                <w:b/>
                <w:bCs/>
                <w:color w:val="5B9BD5" w:themeColor="accent1"/>
                <w:sz w:val="36"/>
                <w:szCs w:val="36"/>
              </w:rPr>
            </w:pPr>
            <w:r>
              <w:rPr>
                <w:rFonts w:asciiTheme="majorHAnsi" w:eastAsiaTheme="majorEastAsia" w:hAnsiTheme="majorHAnsi" w:cstheme="majorBidi"/>
                <w:bCs/>
                <w:sz w:val="28"/>
                <w:szCs w:val="36"/>
              </w:rPr>
              <w:t xml:space="preserve">          </w:t>
            </w:r>
          </w:p>
        </w:tc>
      </w:tr>
    </w:tbl>
    <w:p w:rsidR="00562DDA" w:rsidRDefault="00562DDA" w:rsidP="00562DDA">
      <w:pPr>
        <w:jc w:val="both"/>
        <w:rPr>
          <w:rFonts w:ascii="Times New Roman" w:hAnsi="Times New Roman" w:cs="Times New Roman"/>
          <w:b/>
        </w:rPr>
      </w:pPr>
      <w:r>
        <w:rPr>
          <w:rFonts w:ascii="Times New Roman" w:hAnsi="Times New Roman" w:cs="Times New Roman"/>
          <w:b/>
        </w:rPr>
        <w:t>Mart</w:t>
      </w:r>
      <w:r w:rsidRPr="002B5EAF">
        <w:rPr>
          <w:rFonts w:ascii="Times New Roman" w:hAnsi="Times New Roman" w:cs="Times New Roman"/>
          <w:b/>
        </w:rPr>
        <w:t xml:space="preserve"> ayı </w:t>
      </w:r>
      <w:r>
        <w:rPr>
          <w:rFonts w:ascii="Times New Roman" w:eastAsia="Times New Roman" w:hAnsi="Times New Roman" w:cs="Times New Roman"/>
          <w:b/>
          <w:bCs/>
        </w:rPr>
        <w:t>i</w:t>
      </w:r>
      <w:r w:rsidRPr="002B5EAF">
        <w:rPr>
          <w:rFonts w:ascii="Times New Roman" w:eastAsia="Times New Roman" w:hAnsi="Times New Roman" w:cs="Times New Roman"/>
          <w:b/>
          <w:bCs/>
        </w:rPr>
        <w:t xml:space="preserve">nşaat </w:t>
      </w:r>
      <w:r>
        <w:rPr>
          <w:rFonts w:ascii="Times New Roman" w:eastAsia="Times New Roman" w:hAnsi="Times New Roman" w:cs="Times New Roman"/>
          <w:b/>
          <w:bCs/>
        </w:rPr>
        <w:t>ve hizmet sektörü güven endeksleri</w:t>
      </w:r>
      <w:r w:rsidRPr="002B5EAF">
        <w:rPr>
          <w:rFonts w:ascii="Times New Roman" w:eastAsia="Times New Roman" w:hAnsi="Times New Roman" w:cs="Times New Roman"/>
          <w:b/>
          <w:bCs/>
        </w:rPr>
        <w:t xml:space="preserve"> </w:t>
      </w:r>
      <w:r w:rsidRPr="002B5EAF">
        <w:rPr>
          <w:rFonts w:ascii="Times New Roman" w:hAnsi="Times New Roman" w:cs="Times New Roman"/>
          <w:b/>
        </w:rPr>
        <w:t xml:space="preserve">TÜİK tarafından </w:t>
      </w:r>
      <w:r>
        <w:rPr>
          <w:rFonts w:ascii="Times New Roman" w:hAnsi="Times New Roman" w:cs="Times New Roman"/>
          <w:b/>
        </w:rPr>
        <w:t>25 Mart 2019</w:t>
      </w:r>
      <w:r w:rsidRPr="002B5EAF">
        <w:rPr>
          <w:rFonts w:ascii="Times New Roman" w:hAnsi="Times New Roman" w:cs="Times New Roman"/>
          <w:b/>
        </w:rPr>
        <w:t xml:space="preserve"> tarihinde yayımlandı. </w:t>
      </w:r>
    </w:p>
    <w:p w:rsidR="00562DDA" w:rsidRPr="004B05D2" w:rsidRDefault="00562DDA" w:rsidP="00562DDA">
      <w:pPr>
        <w:pStyle w:val="Balk2"/>
        <w:rPr>
          <w:rFonts w:ascii="Times New Roman" w:hAnsi="Times New Roman" w:cs="Times New Roman"/>
        </w:rPr>
      </w:pPr>
      <w:r w:rsidRPr="004B05D2">
        <w:rPr>
          <w:rFonts w:ascii="Times New Roman" w:hAnsi="Times New Roman" w:cs="Times New Roman"/>
        </w:rPr>
        <w:t>İnşaat sektörü güven endeksi</w:t>
      </w:r>
    </w:p>
    <w:p w:rsidR="00562DDA" w:rsidRDefault="00562DDA" w:rsidP="00562DDA">
      <w:pPr>
        <w:jc w:val="both"/>
        <w:rPr>
          <w:rFonts w:ascii="Times New Roman" w:hAnsi="Times New Roman" w:cs="Times New Roman"/>
        </w:rPr>
      </w:pPr>
      <w:r>
        <w:rPr>
          <w:rFonts w:ascii="Times New Roman" w:hAnsi="Times New Roman" w:cs="Times New Roman"/>
        </w:rPr>
        <w:t>2019 yılı Şubat</w:t>
      </w:r>
      <w:r w:rsidRPr="00472839">
        <w:rPr>
          <w:rFonts w:ascii="Times New Roman" w:hAnsi="Times New Roman" w:cs="Times New Roman"/>
        </w:rPr>
        <w:t xml:space="preserve"> ayında </w:t>
      </w:r>
      <w:r>
        <w:rPr>
          <w:rFonts w:ascii="Times New Roman" w:hAnsi="Times New Roman" w:cs="Times New Roman"/>
        </w:rPr>
        <w:t xml:space="preserve">51,8 </w:t>
      </w:r>
      <w:r w:rsidRPr="00472839">
        <w:rPr>
          <w:rFonts w:ascii="Times New Roman" w:hAnsi="Times New Roman" w:cs="Times New Roman"/>
        </w:rPr>
        <w:t xml:space="preserve">olan mevsim etkilerinden arındırılmış inşaat sektörü güven endeksi, </w:t>
      </w:r>
      <w:r>
        <w:rPr>
          <w:rFonts w:ascii="Times New Roman" w:hAnsi="Times New Roman" w:cs="Times New Roman"/>
        </w:rPr>
        <w:t>2019 yılı Mart ayında 2,3 puan artarak 54,1 değerine yükselmiştir</w:t>
      </w:r>
      <w:r w:rsidRPr="00472839">
        <w:rPr>
          <w:rFonts w:ascii="Times New Roman" w:hAnsi="Times New Roman" w:cs="Times New Roman"/>
        </w:rPr>
        <w:t>. Bir önceki</w:t>
      </w:r>
      <w:r>
        <w:rPr>
          <w:rFonts w:ascii="Times New Roman" w:hAnsi="Times New Roman" w:cs="Times New Roman"/>
        </w:rPr>
        <w:t xml:space="preserve"> yılın aynı dönemine göre ise 78,9 </w:t>
      </w:r>
      <w:r w:rsidRPr="00472839">
        <w:rPr>
          <w:rFonts w:ascii="Times New Roman" w:hAnsi="Times New Roman" w:cs="Times New Roman"/>
        </w:rPr>
        <w:t xml:space="preserve">puan olan </w:t>
      </w:r>
      <w:r>
        <w:rPr>
          <w:rFonts w:ascii="Times New Roman" w:hAnsi="Times New Roman" w:cs="Times New Roman"/>
        </w:rPr>
        <w:t>inşaat sektörü güven endeksi 24,8</w:t>
      </w:r>
      <w:r w:rsidRPr="00472839">
        <w:rPr>
          <w:rFonts w:ascii="Times New Roman" w:hAnsi="Times New Roman" w:cs="Times New Roman"/>
        </w:rPr>
        <w:t xml:space="preserve"> puan </w:t>
      </w:r>
      <w:r>
        <w:rPr>
          <w:rFonts w:ascii="Times New Roman" w:hAnsi="Times New Roman" w:cs="Times New Roman"/>
        </w:rPr>
        <w:t>azalarak</w:t>
      </w:r>
      <w:r w:rsidRPr="00472839">
        <w:rPr>
          <w:rFonts w:ascii="Times New Roman" w:hAnsi="Times New Roman" w:cs="Times New Roman"/>
        </w:rPr>
        <w:t xml:space="preserve"> yü</w:t>
      </w:r>
      <w:r>
        <w:rPr>
          <w:rFonts w:ascii="Times New Roman" w:hAnsi="Times New Roman" w:cs="Times New Roman"/>
        </w:rPr>
        <w:t xml:space="preserve">zde 31,4 </w:t>
      </w:r>
      <w:r w:rsidRPr="00472839">
        <w:rPr>
          <w:rFonts w:ascii="Times New Roman" w:hAnsi="Times New Roman" w:cs="Times New Roman"/>
        </w:rPr>
        <w:t xml:space="preserve">oranında </w:t>
      </w:r>
      <w:r>
        <w:rPr>
          <w:rFonts w:ascii="Times New Roman" w:hAnsi="Times New Roman" w:cs="Times New Roman"/>
        </w:rPr>
        <w:t>düşmüştür.</w:t>
      </w:r>
    </w:p>
    <w:p w:rsidR="00562DDA" w:rsidRPr="0071356F" w:rsidRDefault="00562DDA" w:rsidP="00562DDA">
      <w:pPr>
        <w:jc w:val="both"/>
        <w:rPr>
          <w:rFonts w:ascii="Times New Roman" w:hAnsi="Times New Roman" w:cs="Times New Roman"/>
        </w:rPr>
      </w:pPr>
      <w:r w:rsidRPr="002B5EAF">
        <w:rPr>
          <w:rFonts w:ascii="Times New Roman" w:hAnsi="Times New Roman" w:cs="Times New Roman"/>
        </w:rPr>
        <w:t>Mevsimlikten arındırılmamış inşaat sektörü g</w:t>
      </w:r>
      <w:r>
        <w:rPr>
          <w:rFonts w:ascii="Times New Roman" w:hAnsi="Times New Roman" w:cs="Times New Roman"/>
        </w:rPr>
        <w:t>üven endeksine bakıldığında ise</w:t>
      </w:r>
      <w:r w:rsidRPr="002B5EAF">
        <w:rPr>
          <w:rFonts w:ascii="Times New Roman" w:hAnsi="Times New Roman" w:cs="Times New Roman"/>
        </w:rPr>
        <w:t xml:space="preserve"> 201</w:t>
      </w:r>
      <w:r>
        <w:rPr>
          <w:rFonts w:ascii="Times New Roman" w:hAnsi="Times New Roman" w:cs="Times New Roman"/>
        </w:rPr>
        <w:t>9</w:t>
      </w:r>
      <w:r w:rsidRPr="002B5EAF">
        <w:rPr>
          <w:rFonts w:ascii="Times New Roman" w:hAnsi="Times New Roman" w:cs="Times New Roman"/>
        </w:rPr>
        <w:t xml:space="preserve"> yılı </w:t>
      </w:r>
      <w:r>
        <w:rPr>
          <w:rFonts w:ascii="Times New Roman" w:hAnsi="Times New Roman" w:cs="Times New Roman"/>
        </w:rPr>
        <w:t>Mart ayında bir önceki aya göre 4,8</w:t>
      </w:r>
      <w:r w:rsidRPr="002B5EAF">
        <w:rPr>
          <w:rFonts w:ascii="Times New Roman" w:hAnsi="Times New Roman" w:cs="Times New Roman"/>
        </w:rPr>
        <w:t xml:space="preserve"> puan </w:t>
      </w:r>
      <w:r>
        <w:rPr>
          <w:rFonts w:ascii="Times New Roman" w:hAnsi="Times New Roman" w:cs="Times New Roman"/>
        </w:rPr>
        <w:t>artarak 59,3 puana yükseldiği görülmektedir</w:t>
      </w:r>
      <w:r w:rsidRPr="002B5EAF">
        <w:rPr>
          <w:rFonts w:ascii="Times New Roman" w:hAnsi="Times New Roman" w:cs="Times New Roman"/>
        </w:rPr>
        <w:t>. 201</w:t>
      </w:r>
      <w:r>
        <w:rPr>
          <w:rFonts w:ascii="Times New Roman" w:hAnsi="Times New Roman" w:cs="Times New Roman"/>
        </w:rPr>
        <w:t>8</w:t>
      </w:r>
      <w:r w:rsidRPr="002B5EAF">
        <w:rPr>
          <w:rFonts w:ascii="Times New Roman" w:hAnsi="Times New Roman" w:cs="Times New Roman"/>
        </w:rPr>
        <w:t xml:space="preserve"> </w:t>
      </w:r>
      <w:r>
        <w:rPr>
          <w:rFonts w:ascii="Times New Roman" w:hAnsi="Times New Roman" w:cs="Times New Roman"/>
        </w:rPr>
        <w:t xml:space="preserve">Mart </w:t>
      </w:r>
      <w:r w:rsidRPr="002B5EAF">
        <w:rPr>
          <w:rFonts w:ascii="Times New Roman" w:hAnsi="Times New Roman" w:cs="Times New Roman"/>
        </w:rPr>
        <w:t xml:space="preserve">ayı verilerine göre incelendiğinde ise, yüzde </w:t>
      </w:r>
      <w:r>
        <w:rPr>
          <w:rFonts w:ascii="Times New Roman" w:hAnsi="Times New Roman" w:cs="Times New Roman"/>
        </w:rPr>
        <w:t>30,2</w:t>
      </w:r>
      <w:r>
        <w:rPr>
          <w:rFonts w:ascii="Times New Roman" w:eastAsia="Times New Roman" w:hAnsi="Times New Roman" w:cs="Times New Roman"/>
          <w:color w:val="000000"/>
        </w:rPr>
        <w:t xml:space="preserve"> </w:t>
      </w:r>
      <w:r w:rsidRPr="002B5EAF">
        <w:rPr>
          <w:rFonts w:ascii="Times New Roman" w:eastAsia="Times New Roman" w:hAnsi="Times New Roman" w:cs="Times New Roman"/>
          <w:color w:val="000000"/>
        </w:rPr>
        <w:t xml:space="preserve">oranında </w:t>
      </w:r>
      <w:r>
        <w:rPr>
          <w:rFonts w:ascii="Times New Roman" w:eastAsia="Times New Roman" w:hAnsi="Times New Roman" w:cs="Times New Roman"/>
          <w:color w:val="000000"/>
        </w:rPr>
        <w:t>azaldığı</w:t>
      </w:r>
      <w:r w:rsidRPr="002B5EAF">
        <w:rPr>
          <w:rFonts w:ascii="Times New Roman" w:eastAsia="Times New Roman" w:hAnsi="Times New Roman" w:cs="Times New Roman"/>
          <w:color w:val="000000"/>
        </w:rPr>
        <w:t xml:space="preserve"> gözlemlenmektedir.  </w:t>
      </w:r>
    </w:p>
    <w:p w:rsidR="00562DDA" w:rsidRPr="002B5EAF" w:rsidRDefault="00562DDA" w:rsidP="00562DDA">
      <w:pPr>
        <w:pStyle w:val="ResimYazs"/>
        <w:keepNext/>
        <w:rPr>
          <w:rFonts w:ascii="Times New Roman" w:hAnsi="Times New Roman" w:cs="Times New Roman"/>
          <w:sz w:val="22"/>
          <w:szCs w:val="22"/>
        </w:rPr>
      </w:pPr>
      <w:r w:rsidRPr="002B5EAF">
        <w:rPr>
          <w:rFonts w:ascii="Times New Roman" w:hAnsi="Times New Roman" w:cs="Times New Roman"/>
          <w:sz w:val="22"/>
          <w:szCs w:val="22"/>
        </w:rPr>
        <w:t xml:space="preserve">Şekil </w:t>
      </w:r>
      <w:r w:rsidRPr="002B5EAF">
        <w:rPr>
          <w:rFonts w:ascii="Times New Roman" w:hAnsi="Times New Roman" w:cs="Times New Roman"/>
          <w:sz w:val="22"/>
          <w:szCs w:val="22"/>
        </w:rPr>
        <w:fldChar w:fldCharType="begin"/>
      </w:r>
      <w:r w:rsidRPr="002B5EAF">
        <w:rPr>
          <w:rFonts w:ascii="Times New Roman" w:hAnsi="Times New Roman" w:cs="Times New Roman"/>
          <w:sz w:val="22"/>
          <w:szCs w:val="22"/>
        </w:rPr>
        <w:instrText xml:space="preserve"> SEQ Şekil \* ARABIC </w:instrText>
      </w:r>
      <w:r w:rsidRPr="002B5EAF">
        <w:rPr>
          <w:rFonts w:ascii="Times New Roman" w:hAnsi="Times New Roman" w:cs="Times New Roman"/>
          <w:sz w:val="22"/>
          <w:szCs w:val="22"/>
        </w:rPr>
        <w:fldChar w:fldCharType="separate"/>
      </w:r>
      <w:r>
        <w:rPr>
          <w:rFonts w:ascii="Times New Roman" w:hAnsi="Times New Roman" w:cs="Times New Roman"/>
          <w:noProof/>
          <w:sz w:val="22"/>
          <w:szCs w:val="22"/>
        </w:rPr>
        <w:t>1</w:t>
      </w:r>
      <w:r w:rsidRPr="002B5EAF">
        <w:rPr>
          <w:rFonts w:ascii="Times New Roman" w:hAnsi="Times New Roman" w:cs="Times New Roman"/>
          <w:sz w:val="22"/>
          <w:szCs w:val="22"/>
        </w:rPr>
        <w:fldChar w:fldCharType="end"/>
      </w:r>
      <w:r>
        <w:rPr>
          <w:rFonts w:ascii="Times New Roman" w:hAnsi="Times New Roman" w:cs="Times New Roman"/>
          <w:sz w:val="22"/>
          <w:szCs w:val="22"/>
        </w:rPr>
        <w:t>: İnşaat Sektörü Güven E</w:t>
      </w:r>
      <w:r w:rsidRPr="002B5EAF">
        <w:rPr>
          <w:rFonts w:ascii="Times New Roman" w:hAnsi="Times New Roman" w:cs="Times New Roman"/>
          <w:sz w:val="22"/>
          <w:szCs w:val="22"/>
        </w:rPr>
        <w:t xml:space="preserve">ndeksi </w:t>
      </w:r>
      <w:r>
        <w:rPr>
          <w:rFonts w:ascii="Times New Roman" w:hAnsi="Times New Roman" w:cs="Times New Roman"/>
          <w:sz w:val="22"/>
          <w:szCs w:val="22"/>
        </w:rPr>
        <w:t>(Mart 2018 – Mart 2019</w:t>
      </w:r>
      <w:r w:rsidRPr="002B5EAF">
        <w:rPr>
          <w:rFonts w:ascii="Times New Roman" w:hAnsi="Times New Roman" w:cs="Times New Roman"/>
          <w:sz w:val="22"/>
          <w:szCs w:val="22"/>
        </w:rPr>
        <w:t>)</w:t>
      </w:r>
    </w:p>
    <w:p w:rsidR="00562DDA" w:rsidRDefault="00562DDA" w:rsidP="00562DDA">
      <w:pPr>
        <w:rPr>
          <w:rFonts w:ascii="Times New Roman" w:hAnsi="Times New Roman" w:cs="Times New Roman"/>
        </w:rPr>
      </w:pPr>
      <w:r w:rsidRPr="001647BE">
        <w:rPr>
          <w:noProof/>
        </w:rPr>
        <w:drawing>
          <wp:inline distT="0" distB="0" distL="0" distR="0" wp14:anchorId="0659A70E" wp14:editId="386A81AE">
            <wp:extent cx="5760720" cy="227175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71754"/>
                    </a:xfrm>
                    <a:prstGeom prst="rect">
                      <a:avLst/>
                    </a:prstGeom>
                    <a:noFill/>
                    <a:ln>
                      <a:noFill/>
                    </a:ln>
                  </pic:spPr>
                </pic:pic>
              </a:graphicData>
            </a:graphic>
          </wp:inline>
        </w:drawing>
      </w:r>
    </w:p>
    <w:p w:rsidR="00562DDA" w:rsidRDefault="00562DDA" w:rsidP="00562DDA">
      <w:pPr>
        <w:jc w:val="both"/>
        <w:rPr>
          <w:rFonts w:ascii="Times New Roman" w:hAnsi="Times New Roman" w:cs="Times New Roman"/>
        </w:rPr>
      </w:pPr>
      <w:r>
        <w:rPr>
          <w:rFonts w:ascii="Times New Roman" w:hAnsi="Times New Roman" w:cs="Times New Roman"/>
        </w:rPr>
        <w:t xml:space="preserve">Mevsimlikten arındırılmış inşaat sektörü güven endeksini oluşturan alt kalemlere bakıldığında, Şubat 2019’da 40,8 puan olan alınan siparişlerin mevcut düzeyinin, Mart 2019’da 0,8 puan arttığı ve 41,6 puan olduğu gözlemlenmektedir (Tablo 1). Gelecek 3 aylık dönem için toplam çalışan sayısı beklentisi ise, Şubat 2019’da 62,8 puan iken, Mart 2019’da yüzde 6,1 oranında yükselerek 66,6 puan olmuştur. </w:t>
      </w:r>
    </w:p>
    <w:p w:rsidR="00562DDA" w:rsidRPr="004B05D2" w:rsidRDefault="00562DDA" w:rsidP="00562DDA">
      <w:pPr>
        <w:pStyle w:val="ResimYazs"/>
        <w:keepNext/>
        <w:rPr>
          <w:rFonts w:ascii="Times New Roman" w:hAnsi="Times New Roman" w:cs="Times New Roman"/>
          <w:sz w:val="22"/>
        </w:rPr>
      </w:pPr>
      <w:r w:rsidRPr="004B05D2">
        <w:rPr>
          <w:rFonts w:ascii="Times New Roman" w:hAnsi="Times New Roman" w:cs="Times New Roman"/>
          <w:sz w:val="22"/>
        </w:rPr>
        <w:t xml:space="preserve">Tablo </w:t>
      </w:r>
      <w:r w:rsidRPr="004B05D2">
        <w:rPr>
          <w:rFonts w:ascii="Times New Roman" w:hAnsi="Times New Roman" w:cs="Times New Roman"/>
          <w:sz w:val="22"/>
        </w:rPr>
        <w:fldChar w:fldCharType="begin"/>
      </w:r>
      <w:r w:rsidRPr="004B05D2">
        <w:rPr>
          <w:rFonts w:ascii="Times New Roman" w:hAnsi="Times New Roman" w:cs="Times New Roman"/>
          <w:sz w:val="22"/>
        </w:rPr>
        <w:instrText xml:space="preserve"> SEQ Tablo \* ARABIC </w:instrText>
      </w:r>
      <w:r w:rsidRPr="004B05D2">
        <w:rPr>
          <w:rFonts w:ascii="Times New Roman" w:hAnsi="Times New Roman" w:cs="Times New Roman"/>
          <w:sz w:val="22"/>
        </w:rPr>
        <w:fldChar w:fldCharType="separate"/>
      </w:r>
      <w:r>
        <w:rPr>
          <w:rFonts w:ascii="Times New Roman" w:hAnsi="Times New Roman" w:cs="Times New Roman"/>
          <w:noProof/>
          <w:sz w:val="22"/>
        </w:rPr>
        <w:t>1</w:t>
      </w:r>
      <w:r w:rsidRPr="004B05D2">
        <w:rPr>
          <w:rFonts w:ascii="Times New Roman" w:hAnsi="Times New Roman" w:cs="Times New Roman"/>
          <w:noProof/>
          <w:sz w:val="22"/>
        </w:rPr>
        <w:fldChar w:fldCharType="end"/>
      </w:r>
      <w:r w:rsidRPr="004B05D2">
        <w:rPr>
          <w:rFonts w:ascii="Times New Roman" w:hAnsi="Times New Roman" w:cs="Times New Roman"/>
          <w:sz w:val="22"/>
        </w:rPr>
        <w:t>: İnşaat Sektörü Güven Endeksi Bileşenleri (</w:t>
      </w:r>
      <w:r>
        <w:rPr>
          <w:rFonts w:ascii="Times New Roman" w:hAnsi="Times New Roman" w:cs="Times New Roman"/>
          <w:sz w:val="22"/>
        </w:rPr>
        <w:t>Şubat 2019 – Mart 2019</w:t>
      </w:r>
      <w:r w:rsidRPr="004B05D2">
        <w:rPr>
          <w:rFonts w:ascii="Times New Roman" w:hAnsi="Times New Roman" w:cs="Times New Roman"/>
          <w:sz w:val="22"/>
        </w:rPr>
        <w:t>)</w:t>
      </w:r>
    </w:p>
    <w:tbl>
      <w:tblPr>
        <w:tblStyle w:val="AkGlgeleme-Vurgu11"/>
        <w:tblW w:w="9442" w:type="dxa"/>
        <w:tblLook w:val="04A0" w:firstRow="1" w:lastRow="0" w:firstColumn="1" w:lastColumn="0" w:noHBand="0" w:noVBand="1"/>
      </w:tblPr>
      <w:tblGrid>
        <w:gridCol w:w="6890"/>
        <w:gridCol w:w="1224"/>
        <w:gridCol w:w="1328"/>
      </w:tblGrid>
      <w:tr w:rsidR="00562DDA" w:rsidRPr="00DC3CEB" w:rsidTr="00FC462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562DDA" w:rsidRPr="00E06B41" w:rsidRDefault="00562DDA" w:rsidP="00FC462C">
            <w:pPr>
              <w:rPr>
                <w:rFonts w:ascii="Times New Roman" w:eastAsia="Times New Roman" w:hAnsi="Times New Roman" w:cs="Times New Roman"/>
                <w:color w:val="000000"/>
              </w:rPr>
            </w:pPr>
          </w:p>
        </w:tc>
        <w:tc>
          <w:tcPr>
            <w:tcW w:w="2552" w:type="dxa"/>
            <w:gridSpan w:val="2"/>
            <w:noWrap/>
            <w:hideMark/>
          </w:tcPr>
          <w:p w:rsidR="00562DDA" w:rsidRPr="00E06B41" w:rsidRDefault="00562DDA"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6B41">
              <w:rPr>
                <w:rFonts w:ascii="Times New Roman" w:eastAsia="Times New Roman" w:hAnsi="Times New Roman" w:cs="Times New Roman"/>
                <w:color w:val="000000"/>
              </w:rPr>
              <w:t>Endeks</w:t>
            </w:r>
          </w:p>
        </w:tc>
      </w:tr>
      <w:tr w:rsidR="00562DDA" w:rsidRPr="00415908" w:rsidTr="00FC46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562DDA" w:rsidRPr="00E06B41" w:rsidRDefault="00562DDA" w:rsidP="00FC462C">
            <w:pPr>
              <w:rPr>
                <w:rFonts w:ascii="Times New Roman" w:eastAsia="Times New Roman" w:hAnsi="Times New Roman" w:cs="Times New Roman"/>
                <w:color w:val="000000"/>
              </w:rPr>
            </w:pPr>
          </w:p>
        </w:tc>
        <w:tc>
          <w:tcPr>
            <w:tcW w:w="1224" w:type="dxa"/>
            <w:noWrap/>
          </w:tcPr>
          <w:p w:rsidR="00562DDA" w:rsidRPr="00E06B41"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Şub.19</w:t>
            </w:r>
          </w:p>
        </w:tc>
        <w:tc>
          <w:tcPr>
            <w:tcW w:w="1328" w:type="dxa"/>
            <w:noWrap/>
          </w:tcPr>
          <w:p w:rsidR="00562DDA" w:rsidRPr="00E06B41"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Mar.19</w:t>
            </w:r>
          </w:p>
        </w:tc>
      </w:tr>
      <w:tr w:rsidR="00562DDA" w:rsidRPr="00DC3CEB" w:rsidTr="00FC462C">
        <w:trPr>
          <w:trHeight w:val="494"/>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562DDA" w:rsidRPr="00E06B41" w:rsidRDefault="00562DDA" w:rsidP="00FC462C">
            <w:pPr>
              <w:rPr>
                <w:rFonts w:ascii="Times New Roman" w:eastAsia="Times New Roman" w:hAnsi="Times New Roman" w:cs="Times New Roman"/>
                <w:color w:val="000000"/>
              </w:rPr>
            </w:pPr>
            <w:r w:rsidRPr="00E06B41">
              <w:rPr>
                <w:rFonts w:ascii="Times New Roman" w:eastAsia="Times New Roman" w:hAnsi="Times New Roman" w:cs="Times New Roman"/>
                <w:color w:val="000000"/>
              </w:rPr>
              <w:t>İnşaat Sektörü Güven Endeksi</w:t>
            </w:r>
          </w:p>
        </w:tc>
        <w:tc>
          <w:tcPr>
            <w:tcW w:w="1224" w:type="dxa"/>
            <w:noWrap/>
            <w:vAlign w:val="center"/>
          </w:tcPr>
          <w:p w:rsidR="00562DDA" w:rsidRPr="00C937F9"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51,8</w:t>
            </w:r>
          </w:p>
        </w:tc>
        <w:tc>
          <w:tcPr>
            <w:tcW w:w="1328" w:type="dxa"/>
            <w:noWrap/>
            <w:vAlign w:val="center"/>
          </w:tcPr>
          <w:p w:rsidR="00562DDA" w:rsidRPr="00C937F9"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54,1</w:t>
            </w:r>
          </w:p>
        </w:tc>
      </w:tr>
      <w:tr w:rsidR="00562DDA" w:rsidRPr="00DC3CEB" w:rsidTr="00FC462C">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562DDA" w:rsidRPr="00E06B41" w:rsidRDefault="00562DDA" w:rsidP="00FC462C">
            <w:pPr>
              <w:rPr>
                <w:rFonts w:ascii="Times New Roman" w:eastAsia="Times New Roman" w:hAnsi="Times New Roman" w:cs="Times New Roman"/>
                <w:b w:val="0"/>
                <w:color w:val="000000"/>
              </w:rPr>
            </w:pPr>
            <w:r w:rsidRPr="00E06B41">
              <w:rPr>
                <w:rFonts w:ascii="Times New Roman" w:eastAsia="Times New Roman" w:hAnsi="Times New Roman" w:cs="Times New Roman"/>
                <w:b w:val="0"/>
                <w:color w:val="000000"/>
              </w:rPr>
              <w:t>Alınan kayıtlı siparişlerin mevcut düzeyi</w:t>
            </w:r>
          </w:p>
        </w:tc>
        <w:tc>
          <w:tcPr>
            <w:tcW w:w="1224" w:type="dxa"/>
            <w:noWrap/>
            <w:vAlign w:val="center"/>
          </w:tcPr>
          <w:p w:rsidR="00562DDA" w:rsidRPr="003571B8"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40,8</w:t>
            </w:r>
          </w:p>
        </w:tc>
        <w:tc>
          <w:tcPr>
            <w:tcW w:w="1328" w:type="dxa"/>
            <w:noWrap/>
            <w:vAlign w:val="center"/>
          </w:tcPr>
          <w:p w:rsidR="00562DDA" w:rsidRPr="003571B8"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41,6</w:t>
            </w:r>
          </w:p>
        </w:tc>
      </w:tr>
      <w:tr w:rsidR="00562DDA" w:rsidRPr="00DC3CEB" w:rsidTr="00FC462C">
        <w:trPr>
          <w:trHeight w:val="669"/>
        </w:trPr>
        <w:tc>
          <w:tcPr>
            <w:cnfStyle w:val="001000000000" w:firstRow="0" w:lastRow="0" w:firstColumn="1" w:lastColumn="0" w:oddVBand="0" w:evenVBand="0" w:oddHBand="0" w:evenHBand="0" w:firstRowFirstColumn="0" w:firstRowLastColumn="0" w:lastRowFirstColumn="0" w:lastRowLastColumn="0"/>
            <w:tcW w:w="6890" w:type="dxa"/>
            <w:noWrap/>
            <w:vAlign w:val="center"/>
            <w:hideMark/>
          </w:tcPr>
          <w:p w:rsidR="00562DDA" w:rsidRPr="00E06B41" w:rsidRDefault="00562DDA" w:rsidP="00FC462C">
            <w:pPr>
              <w:rPr>
                <w:rFonts w:ascii="Times New Roman" w:eastAsia="Times New Roman" w:hAnsi="Times New Roman" w:cs="Times New Roman"/>
                <w:b w:val="0"/>
                <w:color w:val="000000"/>
              </w:rPr>
            </w:pPr>
            <w:r w:rsidRPr="00E06B41">
              <w:rPr>
                <w:rFonts w:ascii="Times New Roman" w:eastAsia="Times New Roman" w:hAnsi="Times New Roman" w:cs="Times New Roman"/>
                <w:b w:val="0"/>
                <w:color w:val="000000"/>
              </w:rPr>
              <w:t>Toplam çalışan sayısı beklentisi (gelecek 3 aylık dönemde)</w:t>
            </w:r>
          </w:p>
        </w:tc>
        <w:tc>
          <w:tcPr>
            <w:tcW w:w="1224" w:type="dxa"/>
            <w:noWrap/>
            <w:vAlign w:val="center"/>
          </w:tcPr>
          <w:p w:rsidR="00562DDA" w:rsidRPr="003571B8"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62,8</w:t>
            </w:r>
          </w:p>
        </w:tc>
        <w:tc>
          <w:tcPr>
            <w:tcW w:w="1328" w:type="dxa"/>
            <w:noWrap/>
            <w:vAlign w:val="center"/>
          </w:tcPr>
          <w:p w:rsidR="00562DDA" w:rsidRPr="003571B8"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66,6</w:t>
            </w:r>
          </w:p>
        </w:tc>
      </w:tr>
    </w:tbl>
    <w:p w:rsidR="00562DDA" w:rsidRDefault="00562DDA" w:rsidP="00562DDA">
      <w:pPr>
        <w:pStyle w:val="Balk2"/>
        <w:rPr>
          <w:rFonts w:ascii="Times New Roman" w:hAnsi="Times New Roman" w:cs="Times New Roman"/>
        </w:rPr>
      </w:pPr>
    </w:p>
    <w:p w:rsidR="00562DDA" w:rsidRPr="004B05D2" w:rsidRDefault="00562DDA" w:rsidP="00562DDA">
      <w:pPr>
        <w:pStyle w:val="Balk2"/>
        <w:rPr>
          <w:rFonts w:ascii="Times New Roman" w:hAnsi="Times New Roman" w:cs="Times New Roman"/>
        </w:rPr>
      </w:pPr>
      <w:r w:rsidRPr="004B05D2">
        <w:rPr>
          <w:rFonts w:ascii="Times New Roman" w:hAnsi="Times New Roman" w:cs="Times New Roman"/>
        </w:rPr>
        <w:t>Hizmet sektörü güven endeksi</w:t>
      </w:r>
    </w:p>
    <w:p w:rsidR="00562DDA" w:rsidRDefault="00562DDA" w:rsidP="00562DDA">
      <w:pPr>
        <w:jc w:val="both"/>
        <w:rPr>
          <w:rFonts w:ascii="Times New Roman" w:hAnsi="Times New Roman" w:cs="Times New Roman"/>
        </w:rPr>
      </w:pPr>
      <w:r>
        <w:rPr>
          <w:rFonts w:ascii="Times New Roman" w:hAnsi="Times New Roman" w:cs="Times New Roman"/>
        </w:rPr>
        <w:t xml:space="preserve">2019 Mart </w:t>
      </w:r>
      <w:r w:rsidRPr="002B5EAF">
        <w:rPr>
          <w:rFonts w:ascii="Times New Roman" w:hAnsi="Times New Roman" w:cs="Times New Roman"/>
        </w:rPr>
        <w:t xml:space="preserve">ayı mevsimlikten arındırılmış hizmet sektörü güven endeksi incelendiğinde </w:t>
      </w:r>
      <w:r>
        <w:rPr>
          <w:rFonts w:ascii="Times New Roman" w:hAnsi="Times New Roman" w:cs="Times New Roman"/>
        </w:rPr>
        <w:t xml:space="preserve">(Şekil 2), 2018 yılı Mart ayına göre yüzde 17,7 oranında azalış gösterdiği (17,5 puan) ve 81,6 </w:t>
      </w:r>
      <w:r w:rsidRPr="002B5EAF">
        <w:rPr>
          <w:rFonts w:ascii="Times New Roman" w:hAnsi="Times New Roman" w:cs="Times New Roman"/>
        </w:rPr>
        <w:t xml:space="preserve">puana </w:t>
      </w:r>
      <w:r>
        <w:rPr>
          <w:rFonts w:ascii="Times New Roman" w:hAnsi="Times New Roman" w:cs="Times New Roman"/>
        </w:rPr>
        <w:t>düştüğü</w:t>
      </w:r>
      <w:r w:rsidRPr="002B5EAF">
        <w:rPr>
          <w:rFonts w:ascii="Times New Roman" w:hAnsi="Times New Roman" w:cs="Times New Roman"/>
        </w:rPr>
        <w:t xml:space="preserve"> göze çarpmaktadır.</w:t>
      </w:r>
      <w:r>
        <w:rPr>
          <w:rFonts w:ascii="Times New Roman" w:hAnsi="Times New Roman" w:cs="Times New Roman"/>
        </w:rPr>
        <w:t xml:space="preserve"> </w:t>
      </w:r>
      <w:r w:rsidRPr="002B5EAF">
        <w:rPr>
          <w:rFonts w:ascii="Times New Roman" w:hAnsi="Times New Roman" w:cs="Times New Roman"/>
        </w:rPr>
        <w:t>201</w:t>
      </w:r>
      <w:r>
        <w:rPr>
          <w:rFonts w:ascii="Times New Roman" w:hAnsi="Times New Roman" w:cs="Times New Roman"/>
        </w:rPr>
        <w:t>9</w:t>
      </w:r>
      <w:r w:rsidRPr="002B5EAF">
        <w:rPr>
          <w:rFonts w:ascii="Times New Roman" w:hAnsi="Times New Roman" w:cs="Times New Roman"/>
        </w:rPr>
        <w:t xml:space="preserve"> yılı </w:t>
      </w:r>
      <w:r>
        <w:rPr>
          <w:rFonts w:ascii="Times New Roman" w:hAnsi="Times New Roman" w:cs="Times New Roman"/>
        </w:rPr>
        <w:t>Şubat</w:t>
      </w:r>
      <w:r w:rsidRPr="002B5EAF">
        <w:rPr>
          <w:rFonts w:ascii="Times New Roman" w:hAnsi="Times New Roman" w:cs="Times New Roman"/>
        </w:rPr>
        <w:t xml:space="preserve"> </w:t>
      </w:r>
      <w:r>
        <w:rPr>
          <w:rFonts w:ascii="Times New Roman" w:hAnsi="Times New Roman" w:cs="Times New Roman"/>
        </w:rPr>
        <w:t xml:space="preserve">ayına göre bakıldığında ise yüzde 2,6 </w:t>
      </w:r>
      <w:r w:rsidRPr="002B5EAF">
        <w:rPr>
          <w:rFonts w:ascii="Times New Roman" w:hAnsi="Times New Roman" w:cs="Times New Roman"/>
        </w:rPr>
        <w:t xml:space="preserve">oranında </w:t>
      </w:r>
      <w:r>
        <w:rPr>
          <w:rFonts w:ascii="Times New Roman" w:hAnsi="Times New Roman" w:cs="Times New Roman"/>
        </w:rPr>
        <w:t>arttığı (2,1</w:t>
      </w:r>
      <w:r w:rsidRPr="002B5EAF">
        <w:rPr>
          <w:rFonts w:ascii="Times New Roman" w:hAnsi="Times New Roman" w:cs="Times New Roman"/>
        </w:rPr>
        <w:t xml:space="preserve"> puan) görülmektedir. </w:t>
      </w:r>
    </w:p>
    <w:p w:rsidR="00562DDA" w:rsidRDefault="00562DDA" w:rsidP="00562DDA">
      <w:pPr>
        <w:jc w:val="both"/>
        <w:rPr>
          <w:rFonts w:ascii="Times New Roman" w:hAnsi="Times New Roman" w:cs="Times New Roman"/>
        </w:rPr>
      </w:pPr>
      <w:r w:rsidRPr="002B5EAF">
        <w:rPr>
          <w:rFonts w:ascii="Times New Roman" w:hAnsi="Times New Roman" w:cs="Times New Roman"/>
        </w:rPr>
        <w:t xml:space="preserve">Mevsimlikten arındırılmamış </w:t>
      </w:r>
      <w:r>
        <w:rPr>
          <w:rFonts w:ascii="Times New Roman" w:hAnsi="Times New Roman" w:cs="Times New Roman"/>
        </w:rPr>
        <w:t>endeks ise, 2019 yılının Şubat ayına göre yüzde 9,9</w:t>
      </w:r>
      <w:r w:rsidRPr="002B5EAF">
        <w:rPr>
          <w:rFonts w:ascii="Times New Roman" w:hAnsi="Times New Roman" w:cs="Times New Roman"/>
        </w:rPr>
        <w:t xml:space="preserve"> oranında </w:t>
      </w:r>
      <w:r>
        <w:rPr>
          <w:rFonts w:ascii="Times New Roman" w:hAnsi="Times New Roman" w:cs="Times New Roman"/>
        </w:rPr>
        <w:t>artarak (7,5 puan) 82,8 olurken, 2018</w:t>
      </w:r>
      <w:r w:rsidRPr="002B5EAF">
        <w:rPr>
          <w:rFonts w:ascii="Times New Roman" w:hAnsi="Times New Roman" w:cs="Times New Roman"/>
        </w:rPr>
        <w:t xml:space="preserve"> yılı </w:t>
      </w:r>
      <w:r>
        <w:rPr>
          <w:rFonts w:ascii="Times New Roman" w:hAnsi="Times New Roman" w:cs="Times New Roman"/>
        </w:rPr>
        <w:t xml:space="preserve">Mart </w:t>
      </w:r>
      <w:r w:rsidRPr="002B5EAF">
        <w:rPr>
          <w:rFonts w:ascii="Times New Roman" w:hAnsi="Times New Roman" w:cs="Times New Roman"/>
        </w:rPr>
        <w:t>ayı</w:t>
      </w:r>
      <w:r>
        <w:rPr>
          <w:rFonts w:ascii="Times New Roman" w:hAnsi="Times New Roman" w:cs="Times New Roman"/>
        </w:rPr>
        <w:t xml:space="preserve">na göre yüzde 15,8 oranında (15,5 </w:t>
      </w:r>
      <w:r w:rsidRPr="002B5EAF">
        <w:rPr>
          <w:rFonts w:ascii="Times New Roman" w:hAnsi="Times New Roman" w:cs="Times New Roman"/>
        </w:rPr>
        <w:t>puan)</w:t>
      </w:r>
      <w:r>
        <w:rPr>
          <w:rFonts w:ascii="Times New Roman" w:hAnsi="Times New Roman" w:cs="Times New Roman"/>
        </w:rPr>
        <w:t xml:space="preserve"> azalmıştır</w:t>
      </w:r>
      <w:r w:rsidRPr="002B5EAF">
        <w:rPr>
          <w:rFonts w:ascii="Times New Roman" w:hAnsi="Times New Roman" w:cs="Times New Roman"/>
        </w:rPr>
        <w:t>.</w:t>
      </w:r>
    </w:p>
    <w:p w:rsidR="00562DDA" w:rsidRPr="002B5EAF" w:rsidRDefault="00562DDA" w:rsidP="00562DDA">
      <w:pPr>
        <w:pStyle w:val="ResimYazs"/>
        <w:keepNext/>
        <w:rPr>
          <w:rFonts w:ascii="Times New Roman" w:hAnsi="Times New Roman" w:cs="Times New Roman"/>
          <w:sz w:val="22"/>
          <w:szCs w:val="22"/>
        </w:rPr>
      </w:pPr>
      <w:r w:rsidRPr="002B5EAF">
        <w:rPr>
          <w:rFonts w:ascii="Times New Roman" w:hAnsi="Times New Roman" w:cs="Times New Roman"/>
          <w:sz w:val="22"/>
          <w:szCs w:val="22"/>
        </w:rPr>
        <w:t xml:space="preserve">Şekil </w:t>
      </w:r>
      <w:r>
        <w:rPr>
          <w:rFonts w:ascii="Times New Roman" w:hAnsi="Times New Roman" w:cs="Times New Roman"/>
          <w:sz w:val="22"/>
          <w:szCs w:val="22"/>
        </w:rPr>
        <w:t>2: Hizmet Sektörü Güven E</w:t>
      </w:r>
      <w:r w:rsidRPr="002B5EAF">
        <w:rPr>
          <w:rFonts w:ascii="Times New Roman" w:hAnsi="Times New Roman" w:cs="Times New Roman"/>
          <w:sz w:val="22"/>
          <w:szCs w:val="22"/>
        </w:rPr>
        <w:t>ndeksi (</w:t>
      </w:r>
      <w:r>
        <w:rPr>
          <w:rFonts w:ascii="Times New Roman" w:hAnsi="Times New Roman" w:cs="Times New Roman"/>
          <w:sz w:val="22"/>
          <w:szCs w:val="22"/>
        </w:rPr>
        <w:t>Mart 2018 – Mart 2019</w:t>
      </w:r>
      <w:r w:rsidRPr="002B5EAF">
        <w:rPr>
          <w:rFonts w:ascii="Times New Roman" w:hAnsi="Times New Roman" w:cs="Times New Roman"/>
          <w:sz w:val="22"/>
          <w:szCs w:val="22"/>
        </w:rPr>
        <w:t>)</w:t>
      </w:r>
    </w:p>
    <w:p w:rsidR="00562DDA" w:rsidRPr="002B5EAF" w:rsidRDefault="00562DDA" w:rsidP="00562DDA">
      <w:pPr>
        <w:rPr>
          <w:rFonts w:ascii="Times New Roman" w:hAnsi="Times New Roman" w:cs="Times New Roman"/>
        </w:rPr>
      </w:pPr>
      <w:r w:rsidRPr="00F9266A">
        <w:rPr>
          <w:noProof/>
        </w:rPr>
        <w:drawing>
          <wp:inline distT="0" distB="0" distL="0" distR="0" wp14:anchorId="68FDAF86" wp14:editId="6743942C">
            <wp:extent cx="5760720" cy="22103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10355"/>
                    </a:xfrm>
                    <a:prstGeom prst="rect">
                      <a:avLst/>
                    </a:prstGeom>
                    <a:noFill/>
                    <a:ln>
                      <a:noFill/>
                    </a:ln>
                  </pic:spPr>
                </pic:pic>
              </a:graphicData>
            </a:graphic>
          </wp:inline>
        </w:drawing>
      </w:r>
    </w:p>
    <w:p w:rsidR="00562DDA" w:rsidRPr="002B5EAF" w:rsidRDefault="00562DDA" w:rsidP="00562DDA">
      <w:pPr>
        <w:jc w:val="both"/>
        <w:rPr>
          <w:rFonts w:ascii="Times New Roman" w:hAnsi="Times New Roman" w:cs="Times New Roman"/>
        </w:rPr>
      </w:pPr>
      <w:r>
        <w:rPr>
          <w:rFonts w:ascii="Times New Roman" w:hAnsi="Times New Roman" w:cs="Times New Roman"/>
        </w:rPr>
        <w:t>Mevsim etkilerinden arındırılmış hizmet sektörü güven endeksinin oluştuğu alt kalemler incelendiğinde (Tablo 2), Şubat 2019’da 75,0 puan olan iş durumunun, Mart 2019’da yüzde 3,1 oranında (2,3 puan) artarak 77,3 puan olduğu görülmektedir. Hizmet sektörünün diğer bir alt kalemi olan hizmetlere olan talep Mart 2019’de bir önceki aya göre 3,2 puan yükselmiş ve 74,8 puan olmuştur. Şubat 2019’da 91,0 puan olan gelecek 3 aylık dönem için hizmetlere olan talep beklentisi ise, Mart 2019’da yüzde 1,9 artmış ve 92,7 puan olmuştur.</w:t>
      </w:r>
    </w:p>
    <w:p w:rsidR="00562DDA" w:rsidRPr="004B05D2" w:rsidRDefault="00562DDA" w:rsidP="00562DDA">
      <w:pPr>
        <w:pStyle w:val="ResimYazs"/>
        <w:keepNext/>
        <w:rPr>
          <w:rFonts w:ascii="Times New Roman" w:hAnsi="Times New Roman" w:cs="Times New Roman"/>
          <w:sz w:val="22"/>
        </w:rPr>
      </w:pPr>
      <w:r w:rsidRPr="004B05D2">
        <w:rPr>
          <w:rFonts w:ascii="Times New Roman" w:hAnsi="Times New Roman" w:cs="Times New Roman"/>
          <w:sz w:val="22"/>
        </w:rPr>
        <w:t xml:space="preserve">Tablo </w:t>
      </w:r>
      <w:r w:rsidRPr="004B05D2">
        <w:rPr>
          <w:rFonts w:ascii="Times New Roman" w:hAnsi="Times New Roman" w:cs="Times New Roman"/>
          <w:sz w:val="22"/>
        </w:rPr>
        <w:fldChar w:fldCharType="begin"/>
      </w:r>
      <w:r w:rsidRPr="004B05D2">
        <w:rPr>
          <w:rFonts w:ascii="Times New Roman" w:hAnsi="Times New Roman" w:cs="Times New Roman"/>
          <w:sz w:val="22"/>
        </w:rPr>
        <w:instrText xml:space="preserve"> SEQ Tablo \* ARABIC </w:instrText>
      </w:r>
      <w:r w:rsidRPr="004B05D2">
        <w:rPr>
          <w:rFonts w:ascii="Times New Roman" w:hAnsi="Times New Roman" w:cs="Times New Roman"/>
          <w:sz w:val="22"/>
        </w:rPr>
        <w:fldChar w:fldCharType="separate"/>
      </w:r>
      <w:r>
        <w:rPr>
          <w:rFonts w:ascii="Times New Roman" w:hAnsi="Times New Roman" w:cs="Times New Roman"/>
          <w:noProof/>
          <w:sz w:val="22"/>
        </w:rPr>
        <w:t>2</w:t>
      </w:r>
      <w:r w:rsidRPr="004B05D2">
        <w:rPr>
          <w:rFonts w:ascii="Times New Roman" w:hAnsi="Times New Roman" w:cs="Times New Roman"/>
          <w:noProof/>
          <w:sz w:val="22"/>
        </w:rPr>
        <w:fldChar w:fldCharType="end"/>
      </w:r>
      <w:r w:rsidRPr="004B05D2">
        <w:rPr>
          <w:rFonts w:ascii="Times New Roman" w:hAnsi="Times New Roman" w:cs="Times New Roman"/>
          <w:sz w:val="22"/>
        </w:rPr>
        <w:t>: Hizmet sektörü güven endeksi alt bileşenleri (</w:t>
      </w:r>
      <w:r>
        <w:rPr>
          <w:rFonts w:ascii="Times New Roman" w:hAnsi="Times New Roman" w:cs="Times New Roman"/>
          <w:sz w:val="22"/>
        </w:rPr>
        <w:t>Şubat 2019 – Mart 2019</w:t>
      </w:r>
      <w:r w:rsidRPr="004B05D2">
        <w:rPr>
          <w:rFonts w:ascii="Times New Roman" w:hAnsi="Times New Roman" w:cs="Times New Roman"/>
          <w:sz w:val="22"/>
        </w:rPr>
        <w:t>)</w:t>
      </w:r>
    </w:p>
    <w:tbl>
      <w:tblPr>
        <w:tblStyle w:val="AkGlgeleme-Vurgu11"/>
        <w:tblW w:w="9026" w:type="dxa"/>
        <w:tblLook w:val="04A0" w:firstRow="1" w:lastRow="0" w:firstColumn="1" w:lastColumn="0" w:noHBand="0" w:noVBand="1"/>
      </w:tblPr>
      <w:tblGrid>
        <w:gridCol w:w="6416"/>
        <w:gridCol w:w="1252"/>
        <w:gridCol w:w="1358"/>
      </w:tblGrid>
      <w:tr w:rsidR="00562DDA" w:rsidRPr="00F73F8D" w:rsidTr="00FC462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562DDA" w:rsidRPr="00F73F8D" w:rsidRDefault="00562DDA" w:rsidP="00FC462C">
            <w:pPr>
              <w:rPr>
                <w:rFonts w:ascii="Calibri" w:eastAsia="Times New Roman" w:hAnsi="Calibri" w:cs="Times New Roman"/>
                <w:color w:val="000000"/>
              </w:rPr>
            </w:pPr>
          </w:p>
        </w:tc>
        <w:tc>
          <w:tcPr>
            <w:tcW w:w="2610" w:type="dxa"/>
            <w:gridSpan w:val="2"/>
            <w:noWrap/>
            <w:hideMark/>
          </w:tcPr>
          <w:p w:rsidR="00562DDA" w:rsidRPr="00E06B41" w:rsidRDefault="00562DDA"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6B41">
              <w:rPr>
                <w:rFonts w:ascii="Times New Roman" w:eastAsia="Times New Roman" w:hAnsi="Times New Roman" w:cs="Times New Roman"/>
                <w:color w:val="000000"/>
              </w:rPr>
              <w:t>Endeks</w:t>
            </w:r>
          </w:p>
        </w:tc>
      </w:tr>
      <w:tr w:rsidR="00562DDA" w:rsidRPr="00F73F8D" w:rsidTr="00FC46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562DDA" w:rsidRPr="00E06B41" w:rsidRDefault="00562DDA" w:rsidP="00FC462C">
            <w:pPr>
              <w:rPr>
                <w:rFonts w:ascii="Times New Roman" w:eastAsia="Times New Roman" w:hAnsi="Times New Roman" w:cs="Times New Roman"/>
                <w:color w:val="000000"/>
              </w:rPr>
            </w:pPr>
          </w:p>
        </w:tc>
        <w:tc>
          <w:tcPr>
            <w:tcW w:w="1252" w:type="dxa"/>
            <w:noWrap/>
          </w:tcPr>
          <w:p w:rsidR="00562DDA" w:rsidRPr="00E06B41"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Şub</w:t>
            </w:r>
            <w:r w:rsidRPr="00E06B41">
              <w:rPr>
                <w:rFonts w:ascii="Times New Roman" w:eastAsia="Times New Roman" w:hAnsi="Times New Roman" w:cs="Times New Roman"/>
                <w:b/>
                <w:color w:val="000000"/>
              </w:rPr>
              <w:t>. 1</w:t>
            </w:r>
            <w:r>
              <w:rPr>
                <w:rFonts w:ascii="Times New Roman" w:eastAsia="Times New Roman" w:hAnsi="Times New Roman" w:cs="Times New Roman"/>
                <w:b/>
                <w:color w:val="000000"/>
              </w:rPr>
              <w:t>9</w:t>
            </w:r>
          </w:p>
        </w:tc>
        <w:tc>
          <w:tcPr>
            <w:tcW w:w="1358" w:type="dxa"/>
            <w:noWrap/>
          </w:tcPr>
          <w:p w:rsidR="00562DDA" w:rsidRPr="00E06B41"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Mar</w:t>
            </w:r>
            <w:r w:rsidRPr="00E06B41">
              <w:rPr>
                <w:rFonts w:ascii="Times New Roman" w:eastAsia="Times New Roman" w:hAnsi="Times New Roman" w:cs="Times New Roman"/>
                <w:b/>
                <w:color w:val="000000"/>
              </w:rPr>
              <w:t>. 1</w:t>
            </w:r>
            <w:r>
              <w:rPr>
                <w:rFonts w:ascii="Times New Roman" w:eastAsia="Times New Roman" w:hAnsi="Times New Roman" w:cs="Times New Roman"/>
                <w:b/>
                <w:color w:val="000000"/>
              </w:rPr>
              <w:t>9</w:t>
            </w:r>
          </w:p>
        </w:tc>
      </w:tr>
      <w:tr w:rsidR="00562DDA" w:rsidRPr="00F73F8D" w:rsidTr="00FC462C">
        <w:trPr>
          <w:trHeight w:val="485"/>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562DDA" w:rsidRPr="00E06B41" w:rsidRDefault="00562DDA" w:rsidP="00FC462C">
            <w:pPr>
              <w:rPr>
                <w:rFonts w:ascii="Times New Roman" w:eastAsia="Times New Roman" w:hAnsi="Times New Roman" w:cs="Times New Roman"/>
                <w:color w:val="000000"/>
              </w:rPr>
            </w:pPr>
            <w:r w:rsidRPr="00E06B41">
              <w:rPr>
                <w:rFonts w:ascii="Times New Roman" w:eastAsia="Times New Roman" w:hAnsi="Times New Roman" w:cs="Times New Roman"/>
                <w:color w:val="000000"/>
              </w:rPr>
              <w:t>Hizmet Sektörü Güven Endeksi</w:t>
            </w:r>
          </w:p>
        </w:tc>
        <w:tc>
          <w:tcPr>
            <w:tcW w:w="1252" w:type="dxa"/>
            <w:noWrap/>
            <w:vAlign w:val="center"/>
          </w:tcPr>
          <w:p w:rsidR="00562DDA" w:rsidRPr="005F504C"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79,5</w:t>
            </w:r>
          </w:p>
        </w:tc>
        <w:tc>
          <w:tcPr>
            <w:tcW w:w="1358" w:type="dxa"/>
            <w:noWrap/>
            <w:vAlign w:val="center"/>
          </w:tcPr>
          <w:p w:rsidR="00562DDA" w:rsidRPr="005F504C"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81,6</w:t>
            </w:r>
          </w:p>
        </w:tc>
      </w:tr>
      <w:tr w:rsidR="00562DDA" w:rsidRPr="00F73F8D" w:rsidTr="00FC462C">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562DDA" w:rsidRPr="00E06B41" w:rsidRDefault="00562DDA" w:rsidP="00FC462C">
            <w:pPr>
              <w:rPr>
                <w:rFonts w:ascii="Times New Roman" w:eastAsia="Times New Roman" w:hAnsi="Times New Roman" w:cs="Times New Roman"/>
                <w:b w:val="0"/>
                <w:color w:val="000000"/>
              </w:rPr>
            </w:pPr>
            <w:r w:rsidRPr="00E06B41">
              <w:rPr>
                <w:rFonts w:ascii="Times New Roman" w:eastAsia="Times New Roman" w:hAnsi="Times New Roman" w:cs="Times New Roman"/>
                <w:b w:val="0"/>
                <w:color w:val="000000"/>
              </w:rPr>
              <w:t>İş Durumu (Son 3 aylık dönemde)</w:t>
            </w:r>
          </w:p>
        </w:tc>
        <w:tc>
          <w:tcPr>
            <w:tcW w:w="1252" w:type="dxa"/>
            <w:noWrap/>
            <w:vAlign w:val="center"/>
          </w:tcPr>
          <w:p w:rsidR="00562DDA" w:rsidRPr="00F9737B"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75,0</w:t>
            </w:r>
          </w:p>
        </w:tc>
        <w:tc>
          <w:tcPr>
            <w:tcW w:w="1358" w:type="dxa"/>
            <w:noWrap/>
            <w:vAlign w:val="center"/>
          </w:tcPr>
          <w:p w:rsidR="00562DDA" w:rsidRPr="00F9737B"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77,3</w:t>
            </w:r>
          </w:p>
        </w:tc>
      </w:tr>
      <w:tr w:rsidR="00562DDA" w:rsidRPr="00F73F8D" w:rsidTr="00FC462C">
        <w:trPr>
          <w:trHeight w:val="657"/>
        </w:trPr>
        <w:tc>
          <w:tcPr>
            <w:cnfStyle w:val="001000000000" w:firstRow="0" w:lastRow="0" w:firstColumn="1" w:lastColumn="0" w:oddVBand="0" w:evenVBand="0" w:oddHBand="0" w:evenHBand="0" w:firstRowFirstColumn="0" w:firstRowLastColumn="0" w:lastRowFirstColumn="0" w:lastRowLastColumn="0"/>
            <w:tcW w:w="6416" w:type="dxa"/>
            <w:noWrap/>
            <w:vAlign w:val="center"/>
            <w:hideMark/>
          </w:tcPr>
          <w:p w:rsidR="00562DDA" w:rsidRPr="00E06B41" w:rsidRDefault="00562DDA" w:rsidP="00FC462C">
            <w:pPr>
              <w:rPr>
                <w:rFonts w:ascii="Times New Roman" w:eastAsia="Times New Roman" w:hAnsi="Times New Roman" w:cs="Times New Roman"/>
                <w:b w:val="0"/>
                <w:color w:val="000000"/>
              </w:rPr>
            </w:pPr>
            <w:r w:rsidRPr="00E06B41">
              <w:rPr>
                <w:rFonts w:ascii="Times New Roman" w:eastAsia="Times New Roman" w:hAnsi="Times New Roman" w:cs="Times New Roman"/>
                <w:b w:val="0"/>
                <w:color w:val="000000"/>
              </w:rPr>
              <w:t>Hizmetlere olan talep (son 3 aylık dönemde)</w:t>
            </w:r>
          </w:p>
        </w:tc>
        <w:tc>
          <w:tcPr>
            <w:tcW w:w="1252" w:type="dxa"/>
            <w:noWrap/>
            <w:vAlign w:val="center"/>
          </w:tcPr>
          <w:p w:rsidR="00562DDA" w:rsidRPr="00F9737B"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72,5</w:t>
            </w:r>
          </w:p>
        </w:tc>
        <w:tc>
          <w:tcPr>
            <w:tcW w:w="1358" w:type="dxa"/>
            <w:noWrap/>
            <w:vAlign w:val="center"/>
          </w:tcPr>
          <w:p w:rsidR="00562DDA" w:rsidRPr="00F9737B" w:rsidRDefault="00562DDA"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74,8</w:t>
            </w:r>
          </w:p>
        </w:tc>
      </w:tr>
      <w:tr w:rsidR="00562DDA" w:rsidRPr="00F73F8D" w:rsidTr="00FC462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562DDA" w:rsidRPr="00E06B41" w:rsidRDefault="00562DDA" w:rsidP="00FC462C">
            <w:pPr>
              <w:rPr>
                <w:rFonts w:ascii="Times New Roman" w:eastAsia="Times New Roman" w:hAnsi="Times New Roman" w:cs="Times New Roman"/>
                <w:b w:val="0"/>
                <w:color w:val="000000"/>
              </w:rPr>
            </w:pPr>
            <w:r w:rsidRPr="00E06B41">
              <w:rPr>
                <w:rFonts w:ascii="Times New Roman" w:eastAsia="Times New Roman" w:hAnsi="Times New Roman" w:cs="Times New Roman"/>
                <w:b w:val="0"/>
                <w:color w:val="000000"/>
              </w:rPr>
              <w:t>Hizmetlere olan talep beklentisi (gelecek 3 aylık dönemde)</w:t>
            </w:r>
          </w:p>
        </w:tc>
        <w:tc>
          <w:tcPr>
            <w:tcW w:w="1252" w:type="dxa"/>
            <w:noWrap/>
            <w:vAlign w:val="center"/>
          </w:tcPr>
          <w:p w:rsidR="00562DDA" w:rsidRPr="00F9737B"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91,0</w:t>
            </w:r>
          </w:p>
        </w:tc>
        <w:tc>
          <w:tcPr>
            <w:tcW w:w="1358" w:type="dxa"/>
            <w:noWrap/>
            <w:vAlign w:val="center"/>
          </w:tcPr>
          <w:p w:rsidR="00562DDA" w:rsidRPr="00F9737B" w:rsidRDefault="00562DDA"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92,7</w:t>
            </w:r>
          </w:p>
        </w:tc>
      </w:tr>
    </w:tbl>
    <w:p w:rsidR="00562DDA" w:rsidRPr="002B5EAF" w:rsidRDefault="00562DDA" w:rsidP="00562DDA">
      <w:pPr>
        <w:rPr>
          <w:rFonts w:ascii="Times New Roman" w:hAnsi="Times New Roman" w:cs="Times New Roman"/>
        </w:rPr>
      </w:pPr>
    </w:p>
    <w:p w:rsidR="00562DDA" w:rsidRDefault="00562DDA" w:rsidP="00833A80">
      <w:pPr>
        <w:jc w:val="center"/>
        <w:rPr>
          <w:rFonts w:ascii="Times New Roman" w:hAnsi="Times New Roman" w:cs="Times New Roman"/>
          <w:b/>
          <w:color w:val="1F4E79" w:themeColor="accent1" w:themeShade="80"/>
          <w:sz w:val="40"/>
          <w:szCs w:val="40"/>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02"/>
        <w:gridCol w:w="3797"/>
      </w:tblGrid>
      <w:tr w:rsidR="001E42D5" w:rsidTr="00FC462C">
        <w:trPr>
          <w:trHeight w:val="915"/>
        </w:trPr>
        <w:tc>
          <w:tcPr>
            <w:tcW w:w="5502" w:type="dxa"/>
            <w:vAlign w:val="center"/>
          </w:tcPr>
          <w:p w:rsidR="001E42D5" w:rsidRDefault="001E42D5" w:rsidP="00FC462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2019 Mart </w:t>
            </w:r>
          </w:p>
          <w:p w:rsidR="001E42D5" w:rsidRDefault="001E42D5" w:rsidP="00FC462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REEL KESİM GÜVEN ENDEKSİ</w:t>
            </w:r>
          </w:p>
        </w:tc>
        <w:tc>
          <w:tcPr>
            <w:tcW w:w="3797" w:type="dxa"/>
          </w:tcPr>
          <w:p w:rsidR="001E42D5" w:rsidRDefault="001E42D5" w:rsidP="00FC462C">
            <w:pPr>
              <w:pStyle w:val="stbilgi"/>
              <w:spacing w:line="276" w:lineRule="auto"/>
              <w:jc w:val="center"/>
              <w:rPr>
                <w:rFonts w:asciiTheme="majorHAnsi" w:eastAsiaTheme="majorEastAsia" w:hAnsiTheme="majorHAnsi" w:cstheme="majorBidi"/>
                <w:b/>
                <w:bCs/>
                <w:color w:val="5B9BD5" w:themeColor="accent1"/>
                <w:sz w:val="36"/>
                <w:szCs w:val="36"/>
              </w:rPr>
            </w:pPr>
            <w:r>
              <w:rPr>
                <w:rFonts w:asciiTheme="majorHAnsi" w:eastAsiaTheme="majorEastAsia" w:hAnsiTheme="majorHAnsi" w:cstheme="majorBidi"/>
                <w:bCs/>
                <w:sz w:val="28"/>
                <w:szCs w:val="36"/>
              </w:rPr>
              <w:t xml:space="preserve">            </w:t>
            </w:r>
          </w:p>
        </w:tc>
      </w:tr>
    </w:tbl>
    <w:p w:rsidR="001E42D5" w:rsidRDefault="001E42D5" w:rsidP="001E42D5">
      <w:pPr>
        <w:pStyle w:val="stbilgi"/>
      </w:pPr>
    </w:p>
    <w:p w:rsidR="001E42D5" w:rsidRPr="00DB01A1" w:rsidRDefault="001E42D5" w:rsidP="001E42D5">
      <w:pPr>
        <w:jc w:val="both"/>
        <w:rPr>
          <w:rFonts w:ascii="Times New Roman" w:hAnsi="Times New Roman" w:cs="Times New Roman"/>
          <w:b/>
          <w:sz w:val="24"/>
          <w:szCs w:val="24"/>
        </w:rPr>
      </w:pPr>
      <w:r>
        <w:rPr>
          <w:rFonts w:ascii="Times New Roman" w:hAnsi="Times New Roman" w:cs="Times New Roman"/>
          <w:b/>
          <w:sz w:val="24"/>
          <w:szCs w:val="24"/>
        </w:rPr>
        <w:t>Mart</w:t>
      </w:r>
      <w:r w:rsidRPr="00DB01A1">
        <w:rPr>
          <w:rFonts w:ascii="Times New Roman" w:hAnsi="Times New Roman" w:cs="Times New Roman"/>
          <w:b/>
          <w:sz w:val="24"/>
          <w:szCs w:val="24"/>
        </w:rPr>
        <w:t xml:space="preserve"> ayı Reel Kesim Güven Endeksi (RK</w:t>
      </w:r>
      <w:r>
        <w:rPr>
          <w:rFonts w:ascii="Times New Roman" w:hAnsi="Times New Roman" w:cs="Times New Roman"/>
          <w:b/>
          <w:sz w:val="24"/>
          <w:szCs w:val="24"/>
        </w:rPr>
        <w:t>G</w:t>
      </w:r>
      <w:r w:rsidRPr="00DB01A1">
        <w:rPr>
          <w:rFonts w:ascii="Times New Roman" w:hAnsi="Times New Roman" w:cs="Times New Roman"/>
          <w:b/>
          <w:sz w:val="24"/>
          <w:szCs w:val="24"/>
        </w:rPr>
        <w:t>E) Türkiye Cumhuriyeti Mer</w:t>
      </w:r>
      <w:r>
        <w:rPr>
          <w:rFonts w:ascii="Times New Roman" w:hAnsi="Times New Roman" w:cs="Times New Roman"/>
          <w:b/>
          <w:sz w:val="24"/>
          <w:szCs w:val="24"/>
        </w:rPr>
        <w:t>kez Bankası (TCMB) tarafından 25</w:t>
      </w:r>
      <w:r w:rsidRPr="00DB01A1">
        <w:rPr>
          <w:rFonts w:ascii="Times New Roman" w:hAnsi="Times New Roman" w:cs="Times New Roman"/>
          <w:b/>
          <w:sz w:val="24"/>
          <w:szCs w:val="24"/>
        </w:rPr>
        <w:t xml:space="preserve"> </w:t>
      </w:r>
      <w:r>
        <w:rPr>
          <w:rFonts w:ascii="Times New Roman" w:hAnsi="Times New Roman" w:cs="Times New Roman"/>
          <w:b/>
          <w:sz w:val="24"/>
          <w:szCs w:val="24"/>
        </w:rPr>
        <w:t>Mart 2019</w:t>
      </w:r>
      <w:r w:rsidRPr="00DB01A1">
        <w:rPr>
          <w:rFonts w:ascii="Times New Roman" w:hAnsi="Times New Roman" w:cs="Times New Roman"/>
          <w:b/>
          <w:sz w:val="24"/>
          <w:szCs w:val="24"/>
        </w:rPr>
        <w:t xml:space="preserve"> tarihinde yayımlandı. </w:t>
      </w:r>
    </w:p>
    <w:p w:rsidR="001E42D5" w:rsidRPr="00577A08" w:rsidRDefault="001E42D5" w:rsidP="001E42D5">
      <w:pPr>
        <w:jc w:val="both"/>
        <w:rPr>
          <w:rFonts w:ascii="Times New Roman" w:hAnsi="Times New Roman" w:cs="Times New Roman"/>
          <w:sz w:val="24"/>
          <w:szCs w:val="24"/>
        </w:rPr>
      </w:pPr>
      <w:r>
        <w:rPr>
          <w:rFonts w:ascii="Times New Roman" w:hAnsi="Times New Roman" w:cs="Times New Roman"/>
          <w:sz w:val="24"/>
          <w:szCs w:val="24"/>
        </w:rPr>
        <w:t>Mart</w:t>
      </w:r>
      <w:r w:rsidRPr="00577A08">
        <w:rPr>
          <w:rFonts w:ascii="Times New Roman" w:hAnsi="Times New Roman" w:cs="Times New Roman"/>
          <w:sz w:val="24"/>
          <w:szCs w:val="24"/>
        </w:rPr>
        <w:t xml:space="preserve"> ayında Reel Kesim Güven Endeksi (</w:t>
      </w:r>
      <w:r>
        <w:rPr>
          <w:rFonts w:ascii="Times New Roman" w:hAnsi="Times New Roman" w:cs="Times New Roman"/>
          <w:sz w:val="24"/>
          <w:szCs w:val="24"/>
        </w:rPr>
        <w:t>Şekil</w:t>
      </w:r>
      <w:r w:rsidRPr="00577A08">
        <w:rPr>
          <w:rFonts w:ascii="Times New Roman" w:hAnsi="Times New Roman" w:cs="Times New Roman"/>
          <w:sz w:val="24"/>
          <w:szCs w:val="24"/>
        </w:rPr>
        <w:t xml:space="preserve"> 1) bir öncek</w:t>
      </w:r>
      <w:r>
        <w:rPr>
          <w:rFonts w:ascii="Times New Roman" w:hAnsi="Times New Roman" w:cs="Times New Roman"/>
          <w:sz w:val="24"/>
          <w:szCs w:val="24"/>
        </w:rPr>
        <w:t>i aya göre yüzde 5</w:t>
      </w:r>
      <w:r w:rsidRPr="00577A08">
        <w:rPr>
          <w:rFonts w:ascii="Times New Roman" w:hAnsi="Times New Roman" w:cs="Times New Roman"/>
          <w:sz w:val="24"/>
          <w:szCs w:val="24"/>
        </w:rPr>
        <w:t xml:space="preserve"> </w:t>
      </w:r>
      <w:r>
        <w:rPr>
          <w:rFonts w:ascii="Times New Roman" w:hAnsi="Times New Roman" w:cs="Times New Roman"/>
          <w:sz w:val="24"/>
          <w:szCs w:val="24"/>
        </w:rPr>
        <w:t>oranında artmıştır</w:t>
      </w:r>
      <w:r w:rsidRPr="00577A08">
        <w:rPr>
          <w:rFonts w:ascii="Times New Roman" w:hAnsi="Times New Roman" w:cs="Times New Roman"/>
          <w:sz w:val="24"/>
          <w:szCs w:val="24"/>
        </w:rPr>
        <w:t>. Endeks bir önceki yılın aynı ayına gö</w:t>
      </w:r>
      <w:r>
        <w:rPr>
          <w:rFonts w:ascii="Times New Roman" w:hAnsi="Times New Roman" w:cs="Times New Roman"/>
          <w:sz w:val="24"/>
          <w:szCs w:val="24"/>
        </w:rPr>
        <w:t>re ise yüzde 8,7 oranında azalmıştır</w:t>
      </w:r>
      <w:r w:rsidRPr="00577A08">
        <w:rPr>
          <w:rFonts w:ascii="Times New Roman" w:hAnsi="Times New Roman" w:cs="Times New Roman"/>
          <w:sz w:val="24"/>
          <w:szCs w:val="24"/>
        </w:rPr>
        <w:t>. Mevsimlikten arındırılmış Reel Kesim Güven Endeks</w:t>
      </w:r>
      <w:r>
        <w:rPr>
          <w:rFonts w:ascii="Times New Roman" w:hAnsi="Times New Roman" w:cs="Times New Roman"/>
          <w:sz w:val="24"/>
          <w:szCs w:val="24"/>
        </w:rPr>
        <w:t>i (RKGE-MA) ise bir önceki aya göre yüzde 2,5 oranında artarken</w:t>
      </w:r>
      <w:r w:rsidRPr="00577A08">
        <w:rPr>
          <w:rFonts w:ascii="Times New Roman" w:hAnsi="Times New Roman" w:cs="Times New Roman"/>
          <w:sz w:val="24"/>
          <w:szCs w:val="24"/>
        </w:rPr>
        <w:t xml:space="preserve">, bir önceki </w:t>
      </w:r>
      <w:r>
        <w:rPr>
          <w:rFonts w:ascii="Times New Roman" w:hAnsi="Times New Roman" w:cs="Times New Roman"/>
          <w:sz w:val="24"/>
          <w:szCs w:val="24"/>
        </w:rPr>
        <w:t>yılın aynı ayına göre ise yüzde 9,3 oranında azalmıştır.</w:t>
      </w:r>
    </w:p>
    <w:p w:rsidR="001E42D5" w:rsidRPr="00AF7056" w:rsidRDefault="001E42D5" w:rsidP="001E42D5">
      <w:pPr>
        <w:pStyle w:val="ResimYazs"/>
        <w:keepNext/>
        <w:rPr>
          <w:rFonts w:ascii="Times New Roman" w:hAnsi="Times New Roman" w:cs="Times New Roman"/>
        </w:rPr>
      </w:pPr>
      <w:r w:rsidRPr="00AF7056">
        <w:rPr>
          <w:rFonts w:ascii="Times New Roman" w:hAnsi="Times New Roman" w:cs="Times New Roman"/>
        </w:rPr>
        <w:t xml:space="preserve">Şekil </w:t>
      </w:r>
      <w:r w:rsidRPr="00AF7056">
        <w:rPr>
          <w:rFonts w:ascii="Times New Roman" w:hAnsi="Times New Roman" w:cs="Times New Roman"/>
        </w:rPr>
        <w:fldChar w:fldCharType="begin"/>
      </w:r>
      <w:r w:rsidRPr="00AF7056">
        <w:rPr>
          <w:rFonts w:ascii="Times New Roman" w:hAnsi="Times New Roman" w:cs="Times New Roman"/>
        </w:rPr>
        <w:instrText xml:space="preserve"> SEQ Şekil \* ARABIC </w:instrText>
      </w:r>
      <w:r w:rsidRPr="00AF7056">
        <w:rPr>
          <w:rFonts w:ascii="Times New Roman" w:hAnsi="Times New Roman" w:cs="Times New Roman"/>
        </w:rPr>
        <w:fldChar w:fldCharType="separate"/>
      </w:r>
      <w:r w:rsidRPr="00AF7056">
        <w:rPr>
          <w:rFonts w:ascii="Times New Roman" w:hAnsi="Times New Roman" w:cs="Times New Roman"/>
          <w:noProof/>
        </w:rPr>
        <w:t>1</w:t>
      </w:r>
      <w:r w:rsidRPr="00AF7056">
        <w:rPr>
          <w:rFonts w:ascii="Times New Roman" w:hAnsi="Times New Roman" w:cs="Times New Roman"/>
          <w:noProof/>
        </w:rPr>
        <w:fldChar w:fldCharType="end"/>
      </w:r>
      <w:r w:rsidRPr="00AF7056">
        <w:rPr>
          <w:rFonts w:ascii="Times New Roman" w:hAnsi="Times New Roman" w:cs="Times New Roman"/>
        </w:rPr>
        <w:t>: Reel Sektör Güven Endeksi (Mart 2018-Mart 2019)</w:t>
      </w:r>
    </w:p>
    <w:p w:rsidR="001E42D5" w:rsidRPr="00577A08" w:rsidRDefault="001E42D5" w:rsidP="001E42D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579B7E" wp14:editId="46F4DBB6">
            <wp:extent cx="6497365" cy="237039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9363" cy="2371126"/>
                    </a:xfrm>
                    <a:prstGeom prst="rect">
                      <a:avLst/>
                    </a:prstGeom>
                    <a:noFill/>
                  </pic:spPr>
                </pic:pic>
              </a:graphicData>
            </a:graphic>
          </wp:inline>
        </w:drawing>
      </w:r>
    </w:p>
    <w:p w:rsidR="001E42D5" w:rsidRDefault="001E42D5" w:rsidP="001E42D5">
      <w:pPr>
        <w:pStyle w:val="Default"/>
        <w:jc w:val="both"/>
        <w:rPr>
          <w:rFonts w:ascii="Times New Roman" w:hAnsi="Times New Roman" w:cs="Times New Roman"/>
        </w:rPr>
      </w:pPr>
    </w:p>
    <w:p w:rsidR="001E42D5" w:rsidRDefault="001E42D5" w:rsidP="001E42D5">
      <w:pPr>
        <w:pStyle w:val="Default"/>
        <w:jc w:val="both"/>
        <w:rPr>
          <w:rFonts w:ascii="Times New Roman" w:hAnsi="Times New Roman" w:cs="Times New Roman"/>
          <w:color w:val="000000" w:themeColor="text1"/>
        </w:rPr>
      </w:pPr>
      <w:proofErr w:type="gramStart"/>
      <w:r w:rsidRPr="008E1AC0">
        <w:rPr>
          <w:rFonts w:ascii="Times New Roman" w:hAnsi="Times New Roman" w:cs="Times New Roman"/>
          <w:color w:val="000000" w:themeColor="text1"/>
        </w:rPr>
        <w:t>Endeksi oluşturan yayılma endeksleri incelendiğinde,</w:t>
      </w:r>
      <w:r>
        <w:rPr>
          <w:rFonts w:ascii="Times New Roman" w:hAnsi="Times New Roman" w:cs="Times New Roman"/>
          <w:color w:val="000000" w:themeColor="text1"/>
        </w:rPr>
        <w:t xml:space="preserve"> mevcut mamul mal stok miktarı bir önceki aya göre düşüş gösterirken, mevcut toplam sipariş miktarı, son 3 ay toplam sipariş miktarı, gelecek 3 ay için toplam istihdam, son 3 ay toplam sipariş miktarı, gelecek 3 ay için ihracat sipariş miktarı, sabit sermaye yatırım harcaması ve genel gidişat endekslerinin bir önceki aya göre artış gösterdiği görülmektedir.</w:t>
      </w:r>
      <w:proofErr w:type="gramEnd"/>
    </w:p>
    <w:p w:rsidR="001E42D5" w:rsidRDefault="001E42D5" w:rsidP="001E42D5">
      <w:pPr>
        <w:pStyle w:val="Default"/>
        <w:jc w:val="both"/>
        <w:rPr>
          <w:rFonts w:ascii="Times New Roman" w:hAnsi="Times New Roman" w:cs="Times New Roman"/>
        </w:rPr>
      </w:pPr>
    </w:p>
    <w:p w:rsidR="001E42D5" w:rsidRPr="00AF7056" w:rsidRDefault="001E42D5" w:rsidP="001E42D5">
      <w:pPr>
        <w:pStyle w:val="ResimYazs"/>
        <w:keepNext/>
        <w:rPr>
          <w:rFonts w:ascii="Times New Roman" w:hAnsi="Times New Roman" w:cs="Times New Roman"/>
        </w:rPr>
      </w:pPr>
      <w:r w:rsidRPr="00AF7056">
        <w:rPr>
          <w:rFonts w:ascii="Times New Roman" w:hAnsi="Times New Roman" w:cs="Times New Roman"/>
        </w:rPr>
        <w:lastRenderedPageBreak/>
        <w:t xml:space="preserve">Şekil </w:t>
      </w:r>
      <w:r w:rsidRPr="00AF7056">
        <w:rPr>
          <w:rFonts w:ascii="Times New Roman" w:hAnsi="Times New Roman" w:cs="Times New Roman"/>
        </w:rPr>
        <w:fldChar w:fldCharType="begin"/>
      </w:r>
      <w:r w:rsidRPr="00AF7056">
        <w:rPr>
          <w:rFonts w:ascii="Times New Roman" w:hAnsi="Times New Roman" w:cs="Times New Roman"/>
        </w:rPr>
        <w:instrText xml:space="preserve"> SEQ Şekil \* ARABIC </w:instrText>
      </w:r>
      <w:r w:rsidRPr="00AF7056">
        <w:rPr>
          <w:rFonts w:ascii="Times New Roman" w:hAnsi="Times New Roman" w:cs="Times New Roman"/>
        </w:rPr>
        <w:fldChar w:fldCharType="separate"/>
      </w:r>
      <w:r w:rsidRPr="00AF7056">
        <w:rPr>
          <w:rFonts w:ascii="Times New Roman" w:hAnsi="Times New Roman" w:cs="Times New Roman"/>
          <w:noProof/>
        </w:rPr>
        <w:t>2</w:t>
      </w:r>
      <w:r w:rsidRPr="00AF7056">
        <w:rPr>
          <w:rFonts w:ascii="Times New Roman" w:hAnsi="Times New Roman" w:cs="Times New Roman"/>
          <w:noProof/>
        </w:rPr>
        <w:fldChar w:fldCharType="end"/>
      </w:r>
      <w:r w:rsidRPr="00AF7056">
        <w:rPr>
          <w:rFonts w:ascii="Times New Roman" w:hAnsi="Times New Roman" w:cs="Times New Roman"/>
        </w:rPr>
        <w:t>: Üretim Hacmi, Toplam İstihdam ve İhracat Sipariş Miktarı (Mart 2018 - Mart 2019)</w:t>
      </w:r>
    </w:p>
    <w:p w:rsidR="001E42D5" w:rsidRDefault="001E42D5" w:rsidP="001E42D5">
      <w:pPr>
        <w:pStyle w:val="Default"/>
        <w:rPr>
          <w:rFonts w:ascii="Times New Roman" w:hAnsi="Times New Roman" w:cs="Times New Roman"/>
          <w:b/>
          <w:bCs/>
        </w:rPr>
      </w:pPr>
      <w:r w:rsidRPr="00AF7056">
        <w:rPr>
          <w:rFonts w:ascii="Times New Roman" w:hAnsi="Times New Roman" w:cs="Times New Roman"/>
          <w:b/>
          <w:bCs/>
          <w:noProof/>
          <w:lang w:eastAsia="tr-TR"/>
        </w:rPr>
        <w:drawing>
          <wp:inline distT="0" distB="0" distL="0" distR="0" wp14:anchorId="3A9DA2A9" wp14:editId="4C75F7DF">
            <wp:extent cx="6576816" cy="266929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7464" cy="2673618"/>
                    </a:xfrm>
                    <a:prstGeom prst="rect">
                      <a:avLst/>
                    </a:prstGeom>
                    <a:noFill/>
                  </pic:spPr>
                </pic:pic>
              </a:graphicData>
            </a:graphic>
          </wp:inline>
        </w:drawing>
      </w:r>
    </w:p>
    <w:p w:rsidR="001E42D5" w:rsidRDefault="001E42D5" w:rsidP="001E42D5">
      <w:pPr>
        <w:pStyle w:val="Default"/>
        <w:rPr>
          <w:rFonts w:ascii="Times New Roman" w:hAnsi="Times New Roman" w:cs="Times New Roman"/>
          <w:b/>
          <w:bCs/>
        </w:rPr>
      </w:pPr>
    </w:p>
    <w:p w:rsidR="001E42D5" w:rsidRDefault="001E42D5" w:rsidP="001E42D5">
      <w:pPr>
        <w:pStyle w:val="Default"/>
        <w:jc w:val="both"/>
        <w:rPr>
          <w:rFonts w:ascii="Times New Roman" w:hAnsi="Times New Roman" w:cs="Times New Roman"/>
        </w:rPr>
      </w:pPr>
      <w:r>
        <w:rPr>
          <w:rFonts w:ascii="Times New Roman" w:hAnsi="Times New Roman" w:cs="Times New Roman"/>
        </w:rPr>
        <w:t>Mart</w:t>
      </w:r>
      <w:r w:rsidRPr="00DB01A1">
        <w:rPr>
          <w:rFonts w:ascii="Times New Roman" w:hAnsi="Times New Roman" w:cs="Times New Roman"/>
        </w:rPr>
        <w:t xml:space="preserve"> ayı</w:t>
      </w:r>
      <w:r>
        <w:rPr>
          <w:rFonts w:ascii="Times New Roman" w:hAnsi="Times New Roman" w:cs="Times New Roman"/>
        </w:rPr>
        <w:t xml:space="preserve"> mevcut toplam sipariş miktarı endeksi Şubat ayına göre yüzde 11 oranında artarak 76,6 puan seviyesine yükselmiştir. Geçen yılın Mart ayına göre ise endeks yüzde 21 oranında azalmıştır. Mevcut mamul stok miktarı Mart ayında bir önceki aya göre yüzde 1,3 oranında azalmış; gelecek üç ay için üretim hacmi ise yüzde 4,3 oranında artış sergilemiştir. Toplam istihdam (Gelecek üç ay) yüzde 4 oranında artış sergilemiştir. </w:t>
      </w:r>
    </w:p>
    <w:p w:rsidR="001E42D5" w:rsidRDefault="001E42D5" w:rsidP="001E42D5">
      <w:pPr>
        <w:pStyle w:val="Default"/>
        <w:jc w:val="both"/>
        <w:rPr>
          <w:rFonts w:ascii="Times New Roman" w:hAnsi="Times New Roman" w:cs="Times New Roman"/>
        </w:rPr>
      </w:pPr>
    </w:p>
    <w:p w:rsidR="001E42D5" w:rsidRDefault="001E42D5" w:rsidP="001E42D5">
      <w:pPr>
        <w:pStyle w:val="Default"/>
        <w:jc w:val="both"/>
        <w:rPr>
          <w:rFonts w:ascii="Times New Roman" w:hAnsi="Times New Roman" w:cs="Times New Roman"/>
        </w:rPr>
      </w:pPr>
      <w:r>
        <w:rPr>
          <w:rFonts w:ascii="Times New Roman" w:hAnsi="Times New Roman" w:cs="Times New Roman"/>
        </w:rPr>
        <w:t xml:space="preserve">Toplam sipariş miktarı (son üç ay) endeksi bir önceki aya göre yüzde 16 oranında artmış ve 90,4 puana yükselmiştir. </w:t>
      </w:r>
    </w:p>
    <w:p w:rsidR="001E42D5" w:rsidRDefault="001E42D5" w:rsidP="001E42D5">
      <w:pPr>
        <w:pStyle w:val="Default"/>
        <w:jc w:val="both"/>
        <w:rPr>
          <w:rFonts w:ascii="Times New Roman" w:hAnsi="Times New Roman" w:cs="Times New Roman"/>
        </w:rPr>
      </w:pPr>
    </w:p>
    <w:p w:rsidR="001E42D5" w:rsidRDefault="001E42D5" w:rsidP="001E42D5">
      <w:pPr>
        <w:pStyle w:val="Default"/>
        <w:jc w:val="both"/>
        <w:rPr>
          <w:rFonts w:ascii="Times New Roman" w:hAnsi="Times New Roman" w:cs="Times New Roman"/>
        </w:rPr>
      </w:pPr>
      <w:r>
        <w:rPr>
          <w:rFonts w:ascii="Times New Roman" w:hAnsi="Times New Roman" w:cs="Times New Roman"/>
          <w:color w:val="000000" w:themeColor="text1"/>
        </w:rPr>
        <w:t xml:space="preserve">İhracat sipariş miktarı (gelecek üç ay) </w:t>
      </w:r>
      <w:r>
        <w:rPr>
          <w:rFonts w:ascii="Times New Roman" w:hAnsi="Times New Roman" w:cs="Times New Roman"/>
        </w:rPr>
        <w:t xml:space="preserve">endeksi incelendiğinde bir önceki aya göre yüzde 0,9 oranında artış göstermiştir. Aynı endeks 2018 yılı Mart ayına göre ise yüzde 11,6 oranında azalmıştır. </w:t>
      </w:r>
    </w:p>
    <w:p w:rsidR="001E42D5" w:rsidRDefault="001E42D5" w:rsidP="001E42D5">
      <w:pPr>
        <w:pStyle w:val="Default"/>
        <w:jc w:val="both"/>
        <w:rPr>
          <w:rFonts w:ascii="Times New Roman" w:hAnsi="Times New Roman" w:cs="Times New Roman"/>
        </w:rPr>
      </w:pPr>
    </w:p>
    <w:p w:rsidR="001E42D5" w:rsidRDefault="001E42D5" w:rsidP="001E42D5">
      <w:pPr>
        <w:pStyle w:val="Default"/>
        <w:jc w:val="both"/>
        <w:rPr>
          <w:rFonts w:ascii="Times New Roman" w:hAnsi="Times New Roman" w:cs="Times New Roman"/>
        </w:rPr>
      </w:pPr>
      <w:r>
        <w:rPr>
          <w:rFonts w:ascii="Times New Roman" w:hAnsi="Times New Roman" w:cs="Times New Roman"/>
        </w:rPr>
        <w:t>2018 Mart ayında 119,5 olan sabit sermaye yatırım harcaması endeksi ise, Mart 2019’da yüzde 11,4 oranında azalarak 105,9 seviyesine gerilemiştir. Genel gidişat endeksi ise, Mart ayında bir önceki aya göre yüzde 3,5 artmış; bir önceki yılın aynı ayına göre ise yüzde 4,1 oranında düşüş göstermiştir.</w:t>
      </w:r>
    </w:p>
    <w:p w:rsidR="001E42D5" w:rsidRPr="00DB01A1" w:rsidRDefault="001E42D5" w:rsidP="001E42D5">
      <w:pPr>
        <w:pStyle w:val="Default"/>
        <w:jc w:val="both"/>
        <w:rPr>
          <w:rFonts w:ascii="Times New Roman" w:hAnsi="Times New Roman" w:cs="Times New Roman"/>
        </w:rPr>
      </w:pPr>
    </w:p>
    <w:p w:rsidR="001E42D5" w:rsidRPr="00AF7056" w:rsidRDefault="001E42D5" w:rsidP="001E42D5">
      <w:pPr>
        <w:pStyle w:val="ResimYazs"/>
        <w:keepNext/>
        <w:rPr>
          <w:rFonts w:ascii="Times New Roman" w:hAnsi="Times New Roman" w:cs="Times New Roman"/>
        </w:rPr>
      </w:pPr>
      <w:r w:rsidRPr="00AF7056">
        <w:rPr>
          <w:rFonts w:ascii="Times New Roman" w:hAnsi="Times New Roman" w:cs="Times New Roman"/>
        </w:rPr>
        <w:t xml:space="preserve">Tablo </w:t>
      </w:r>
      <w:r w:rsidRPr="00AF7056">
        <w:rPr>
          <w:rFonts w:ascii="Times New Roman" w:hAnsi="Times New Roman" w:cs="Times New Roman"/>
        </w:rPr>
        <w:fldChar w:fldCharType="begin"/>
      </w:r>
      <w:r w:rsidRPr="00AF7056">
        <w:rPr>
          <w:rFonts w:ascii="Times New Roman" w:hAnsi="Times New Roman" w:cs="Times New Roman"/>
        </w:rPr>
        <w:instrText xml:space="preserve"> SEQ Tablo \* ARABIC </w:instrText>
      </w:r>
      <w:r w:rsidRPr="00AF7056">
        <w:rPr>
          <w:rFonts w:ascii="Times New Roman" w:hAnsi="Times New Roman" w:cs="Times New Roman"/>
        </w:rPr>
        <w:fldChar w:fldCharType="separate"/>
      </w:r>
      <w:r w:rsidRPr="00AF7056">
        <w:rPr>
          <w:rFonts w:ascii="Times New Roman" w:hAnsi="Times New Roman" w:cs="Times New Roman"/>
          <w:noProof/>
        </w:rPr>
        <w:t>1</w:t>
      </w:r>
      <w:r w:rsidRPr="00AF7056">
        <w:rPr>
          <w:rFonts w:ascii="Times New Roman" w:hAnsi="Times New Roman" w:cs="Times New Roman"/>
          <w:noProof/>
        </w:rPr>
        <w:fldChar w:fldCharType="end"/>
      </w:r>
      <w:r w:rsidRPr="00AF7056">
        <w:rPr>
          <w:rFonts w:ascii="Times New Roman" w:hAnsi="Times New Roman" w:cs="Times New Roman"/>
        </w:rPr>
        <w:t>: Bileşenler Bazında Reel Kesim Güven Endeki (Mart 2017, Mart 2018, Mart 2019)</w:t>
      </w:r>
    </w:p>
    <w:tbl>
      <w:tblPr>
        <w:tblStyle w:val="AkGlgeleme-Vurgu11"/>
        <w:tblW w:w="8253" w:type="dxa"/>
        <w:tblLook w:val="04A0" w:firstRow="1" w:lastRow="0" w:firstColumn="1" w:lastColumn="0" w:noHBand="0" w:noVBand="1"/>
      </w:tblPr>
      <w:tblGrid>
        <w:gridCol w:w="4219"/>
        <w:gridCol w:w="916"/>
        <w:gridCol w:w="1780"/>
        <w:gridCol w:w="1338"/>
      </w:tblGrid>
      <w:tr w:rsidR="001E42D5" w:rsidRPr="008259AC" w:rsidTr="00FC462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253" w:type="dxa"/>
            <w:gridSpan w:val="4"/>
            <w:noWrap/>
            <w:hideMark/>
          </w:tcPr>
          <w:p w:rsidR="001E42D5" w:rsidRPr="008259AC" w:rsidRDefault="001E42D5" w:rsidP="00FC462C">
            <w:pPr>
              <w:jc w:val="center"/>
              <w:rPr>
                <w:rFonts w:ascii="Times New Roman" w:eastAsia="Times New Roman" w:hAnsi="Times New Roman" w:cs="Times New Roman"/>
                <w:b w:val="0"/>
                <w:bCs w:val="0"/>
                <w:color w:val="000000"/>
                <w:sz w:val="20"/>
                <w:szCs w:val="24"/>
              </w:rPr>
            </w:pPr>
            <w:r w:rsidRPr="008259AC">
              <w:rPr>
                <w:rFonts w:ascii="Times New Roman" w:eastAsia="Times New Roman" w:hAnsi="Times New Roman" w:cs="Times New Roman"/>
                <w:color w:val="000000"/>
                <w:sz w:val="20"/>
                <w:szCs w:val="24"/>
              </w:rPr>
              <w:t>REEL KESİM GÜVEN ENDEKSİ (RKGE)</w:t>
            </w:r>
          </w:p>
        </w:tc>
      </w:tr>
      <w:tr w:rsidR="001E42D5" w:rsidRPr="008259AC" w:rsidTr="00FC462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9" w:type="dxa"/>
            <w:noWrap/>
            <w:hideMark/>
          </w:tcPr>
          <w:p w:rsidR="001E42D5" w:rsidRPr="008259AC" w:rsidRDefault="001E42D5" w:rsidP="00FC462C">
            <w:pPr>
              <w:jc w:val="center"/>
              <w:rPr>
                <w:rFonts w:ascii="Times New Roman" w:eastAsia="Times New Roman" w:hAnsi="Times New Roman" w:cs="Times New Roman"/>
                <w:b w:val="0"/>
                <w:bCs w:val="0"/>
                <w:color w:val="000000"/>
                <w:sz w:val="20"/>
                <w:szCs w:val="24"/>
              </w:rPr>
            </w:pPr>
          </w:p>
        </w:tc>
        <w:tc>
          <w:tcPr>
            <w:tcW w:w="916" w:type="dxa"/>
            <w:noWrap/>
            <w:hideMark/>
          </w:tcPr>
          <w:p w:rsidR="001E42D5" w:rsidRPr="008259AC"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p>
        </w:tc>
        <w:tc>
          <w:tcPr>
            <w:tcW w:w="1780" w:type="dxa"/>
            <w:noWrap/>
            <w:hideMark/>
          </w:tcPr>
          <w:p w:rsidR="001E42D5" w:rsidRPr="008259AC"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p>
        </w:tc>
        <w:tc>
          <w:tcPr>
            <w:tcW w:w="1338" w:type="dxa"/>
            <w:noWrap/>
            <w:hideMark/>
          </w:tcPr>
          <w:p w:rsidR="001E42D5" w:rsidRPr="008259AC"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p>
        </w:tc>
      </w:tr>
      <w:tr w:rsidR="001E42D5" w:rsidRPr="008259AC" w:rsidTr="00FC462C">
        <w:trPr>
          <w:trHeight w:val="405"/>
        </w:trPr>
        <w:tc>
          <w:tcPr>
            <w:cnfStyle w:val="001000000000" w:firstRow="0" w:lastRow="0" w:firstColumn="1" w:lastColumn="0" w:oddVBand="0" w:evenVBand="0" w:oddHBand="0" w:evenHBand="0" w:firstRowFirstColumn="0" w:firstRowLastColumn="0" w:lastRowFirstColumn="0" w:lastRowLastColumn="0"/>
            <w:tcW w:w="4219" w:type="dxa"/>
            <w:noWrap/>
            <w:hideMark/>
          </w:tcPr>
          <w:p w:rsidR="001E42D5" w:rsidRPr="008259AC" w:rsidRDefault="001E42D5" w:rsidP="00FC462C">
            <w:pPr>
              <w:jc w:val="both"/>
              <w:rPr>
                <w:rFonts w:ascii="Times New Roman" w:eastAsia="Times New Roman" w:hAnsi="Times New Roman" w:cs="Times New Roman"/>
                <w:b w:val="0"/>
                <w:bCs w:val="0"/>
                <w:color w:val="000000"/>
                <w:sz w:val="20"/>
                <w:szCs w:val="24"/>
              </w:rPr>
            </w:pPr>
          </w:p>
        </w:tc>
        <w:tc>
          <w:tcPr>
            <w:tcW w:w="916" w:type="dxa"/>
            <w:noWrap/>
            <w:hideMark/>
          </w:tcPr>
          <w:p w:rsidR="001E42D5" w:rsidRPr="008259AC"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2017</w:t>
            </w:r>
          </w:p>
        </w:tc>
        <w:tc>
          <w:tcPr>
            <w:tcW w:w="3118" w:type="dxa"/>
            <w:gridSpan w:val="2"/>
            <w:noWrap/>
            <w:hideMark/>
          </w:tcPr>
          <w:p w:rsidR="001E42D5" w:rsidRPr="008259AC" w:rsidRDefault="001E42D5"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 xml:space="preserve">           2018                         2019</w:t>
            </w:r>
          </w:p>
        </w:tc>
      </w:tr>
      <w:tr w:rsidR="001E42D5" w:rsidRPr="008259AC" w:rsidTr="00FC46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219" w:type="dxa"/>
            <w:noWrap/>
            <w:hideMark/>
          </w:tcPr>
          <w:p w:rsidR="001E42D5" w:rsidRPr="008259AC" w:rsidRDefault="001E42D5" w:rsidP="00FC462C">
            <w:pPr>
              <w:jc w:val="both"/>
              <w:rPr>
                <w:rFonts w:ascii="Times New Roman" w:eastAsia="Times New Roman" w:hAnsi="Times New Roman" w:cs="Times New Roman"/>
                <w:color w:val="000000"/>
                <w:sz w:val="20"/>
                <w:szCs w:val="24"/>
              </w:rPr>
            </w:pPr>
          </w:p>
        </w:tc>
        <w:tc>
          <w:tcPr>
            <w:tcW w:w="916" w:type="dxa"/>
            <w:noWrap/>
            <w:hideMark/>
          </w:tcPr>
          <w:p w:rsidR="001E42D5" w:rsidRPr="008259AC"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Mart</w:t>
            </w:r>
          </w:p>
        </w:tc>
        <w:tc>
          <w:tcPr>
            <w:tcW w:w="1780" w:type="dxa"/>
            <w:noWrap/>
            <w:hideMark/>
          </w:tcPr>
          <w:p w:rsidR="001E42D5" w:rsidRPr="008259AC"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Mart</w:t>
            </w:r>
          </w:p>
        </w:tc>
        <w:tc>
          <w:tcPr>
            <w:tcW w:w="1338" w:type="dxa"/>
            <w:noWrap/>
            <w:hideMark/>
          </w:tcPr>
          <w:p w:rsidR="001E42D5" w:rsidRPr="008259AC"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Mart</w:t>
            </w:r>
          </w:p>
        </w:tc>
      </w:tr>
      <w:tr w:rsidR="001E42D5" w:rsidRPr="008259AC" w:rsidTr="00FC462C">
        <w:trPr>
          <w:trHeight w:val="274"/>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b w:val="0"/>
                <w:bCs w:val="0"/>
                <w:i/>
                <w:iCs/>
                <w:color w:val="000000"/>
                <w:sz w:val="20"/>
                <w:szCs w:val="24"/>
              </w:rPr>
            </w:pPr>
            <w:r w:rsidRPr="008259AC">
              <w:rPr>
                <w:rFonts w:ascii="Times New Roman" w:eastAsia="Times New Roman" w:hAnsi="Times New Roman" w:cs="Times New Roman"/>
                <w:i/>
                <w:iCs/>
                <w:color w:val="000000"/>
                <w:sz w:val="20"/>
                <w:szCs w:val="24"/>
              </w:rPr>
              <w:t>Reel Kesim Güven Endeksi</w:t>
            </w:r>
          </w:p>
        </w:tc>
        <w:tc>
          <w:tcPr>
            <w:tcW w:w="916" w:type="dxa"/>
            <w:vAlign w:val="bottom"/>
            <w:hideMark/>
          </w:tcPr>
          <w:p w:rsidR="001E42D5" w:rsidRPr="001B2EEA"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1B2EEA">
              <w:rPr>
                <w:rFonts w:ascii="Times New Roman" w:hAnsi="Times New Roman" w:cs="Times New Roman"/>
                <w:b/>
                <w:color w:val="000000"/>
                <w:sz w:val="20"/>
                <w:szCs w:val="20"/>
              </w:rPr>
              <w:t>108,90</w:t>
            </w:r>
          </w:p>
        </w:tc>
        <w:tc>
          <w:tcPr>
            <w:tcW w:w="1780" w:type="dxa"/>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D0D0D"/>
                <w:sz w:val="20"/>
                <w:szCs w:val="20"/>
              </w:rPr>
            </w:pPr>
            <w:r w:rsidRPr="00A95231">
              <w:rPr>
                <w:rFonts w:ascii="Times New Roman" w:hAnsi="Times New Roman" w:cs="Times New Roman"/>
                <w:b/>
                <w:bCs/>
                <w:i/>
                <w:iCs/>
                <w:color w:val="0D0D0D"/>
                <w:sz w:val="20"/>
                <w:szCs w:val="20"/>
              </w:rPr>
              <w:t>111,9</w:t>
            </w:r>
          </w:p>
        </w:tc>
        <w:tc>
          <w:tcPr>
            <w:tcW w:w="1338" w:type="dxa"/>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D0D0D"/>
                <w:sz w:val="20"/>
                <w:szCs w:val="20"/>
              </w:rPr>
            </w:pPr>
            <w:r w:rsidRPr="00A95231">
              <w:rPr>
                <w:rFonts w:ascii="Times New Roman" w:hAnsi="Times New Roman" w:cs="Times New Roman"/>
                <w:b/>
                <w:bCs/>
                <w:i/>
                <w:iCs/>
                <w:color w:val="0D0D0D"/>
                <w:sz w:val="20"/>
                <w:szCs w:val="20"/>
              </w:rPr>
              <w:t>102,1</w:t>
            </w:r>
          </w:p>
        </w:tc>
      </w:tr>
      <w:tr w:rsidR="001E42D5" w:rsidRPr="008259AC" w:rsidTr="00FC4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Toplam sipariş miktarı </w:t>
            </w:r>
            <w:r w:rsidRPr="008259AC">
              <w:rPr>
                <w:rFonts w:ascii="Times New Roman" w:eastAsia="Times New Roman" w:hAnsi="Times New Roman" w:cs="Times New Roman"/>
                <w:color w:val="000000"/>
                <w:sz w:val="20"/>
                <w:szCs w:val="24"/>
              </w:rPr>
              <w:t>(Mevcut durum)</w:t>
            </w:r>
          </w:p>
        </w:tc>
        <w:tc>
          <w:tcPr>
            <w:tcW w:w="916" w:type="dxa"/>
            <w:noWrap/>
            <w:vAlign w:val="bottom"/>
            <w:hideMark/>
          </w:tcPr>
          <w:p w:rsidR="001E42D5" w:rsidRPr="001B2EEA"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92,70</w:t>
            </w:r>
          </w:p>
        </w:tc>
        <w:tc>
          <w:tcPr>
            <w:tcW w:w="1780"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97,0</w:t>
            </w:r>
          </w:p>
        </w:tc>
        <w:tc>
          <w:tcPr>
            <w:tcW w:w="1338"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76,6</w:t>
            </w:r>
          </w:p>
        </w:tc>
      </w:tr>
      <w:tr w:rsidR="001E42D5" w:rsidRPr="008259AC" w:rsidTr="00FC462C">
        <w:trPr>
          <w:trHeight w:val="338"/>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 xml:space="preserve">Mamul mal stok miktarı (Mevcut durum) (*) </w:t>
            </w:r>
          </w:p>
        </w:tc>
        <w:tc>
          <w:tcPr>
            <w:tcW w:w="916" w:type="dxa"/>
            <w:noWrap/>
            <w:vAlign w:val="bottom"/>
            <w:hideMark/>
          </w:tcPr>
          <w:p w:rsidR="001E42D5" w:rsidRPr="001B2EEA"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100,40</w:t>
            </w:r>
          </w:p>
        </w:tc>
        <w:tc>
          <w:tcPr>
            <w:tcW w:w="1780"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95,0</w:t>
            </w:r>
          </w:p>
        </w:tc>
        <w:tc>
          <w:tcPr>
            <w:tcW w:w="1338"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98,4</w:t>
            </w:r>
          </w:p>
        </w:tc>
      </w:tr>
      <w:tr w:rsidR="001E42D5" w:rsidRPr="008259AC" w:rsidTr="00FC462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lastRenderedPageBreak/>
              <w:t>Üretim hacmi</w:t>
            </w:r>
            <w:r w:rsidRPr="008259AC">
              <w:rPr>
                <w:rFonts w:ascii="Times New Roman" w:eastAsia="Times New Roman" w:hAnsi="Times New Roman" w:cs="Times New Roman"/>
                <w:color w:val="000000"/>
                <w:sz w:val="20"/>
                <w:szCs w:val="24"/>
              </w:rPr>
              <w:t xml:space="preserve"> (Gelecek 3 ay)</w:t>
            </w:r>
          </w:p>
        </w:tc>
        <w:tc>
          <w:tcPr>
            <w:tcW w:w="916" w:type="dxa"/>
            <w:noWrap/>
            <w:vAlign w:val="bottom"/>
            <w:hideMark/>
          </w:tcPr>
          <w:p w:rsidR="001E42D5" w:rsidRPr="001B2EEA"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129,50</w:t>
            </w:r>
          </w:p>
        </w:tc>
        <w:tc>
          <w:tcPr>
            <w:tcW w:w="1780"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131,7</w:t>
            </w:r>
          </w:p>
        </w:tc>
        <w:tc>
          <w:tcPr>
            <w:tcW w:w="1338"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121,9</w:t>
            </w:r>
          </w:p>
        </w:tc>
      </w:tr>
      <w:tr w:rsidR="001E42D5" w:rsidRPr="008259AC" w:rsidTr="00FC462C">
        <w:trPr>
          <w:trHeight w:val="432"/>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Toplam istihdam </w:t>
            </w:r>
            <w:r w:rsidRPr="008259AC">
              <w:rPr>
                <w:rFonts w:ascii="Times New Roman" w:eastAsia="Times New Roman" w:hAnsi="Times New Roman" w:cs="Times New Roman"/>
                <w:color w:val="000000"/>
                <w:sz w:val="20"/>
                <w:szCs w:val="24"/>
              </w:rPr>
              <w:t>(Gelecek 3 ay)</w:t>
            </w:r>
          </w:p>
        </w:tc>
        <w:tc>
          <w:tcPr>
            <w:tcW w:w="916" w:type="dxa"/>
            <w:noWrap/>
            <w:vAlign w:val="bottom"/>
            <w:hideMark/>
          </w:tcPr>
          <w:p w:rsidR="001E42D5" w:rsidRPr="001B2EEA"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120,90</w:t>
            </w:r>
          </w:p>
        </w:tc>
        <w:tc>
          <w:tcPr>
            <w:tcW w:w="1780"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111,4</w:t>
            </w:r>
          </w:p>
        </w:tc>
        <w:tc>
          <w:tcPr>
            <w:tcW w:w="1338"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107,4</w:t>
            </w:r>
          </w:p>
        </w:tc>
      </w:tr>
      <w:tr w:rsidR="001E42D5" w:rsidRPr="008259AC" w:rsidTr="00FC462C">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Toplam sipariş miktarı </w:t>
            </w:r>
            <w:r w:rsidRPr="008259AC">
              <w:rPr>
                <w:rFonts w:ascii="Times New Roman" w:eastAsia="Times New Roman" w:hAnsi="Times New Roman" w:cs="Times New Roman"/>
                <w:color w:val="000000"/>
                <w:sz w:val="20"/>
                <w:szCs w:val="24"/>
              </w:rPr>
              <w:t>(Son 3 ay)</w:t>
            </w:r>
          </w:p>
        </w:tc>
        <w:tc>
          <w:tcPr>
            <w:tcW w:w="916" w:type="dxa"/>
            <w:noWrap/>
            <w:vAlign w:val="bottom"/>
            <w:hideMark/>
          </w:tcPr>
          <w:p w:rsidR="001E42D5" w:rsidRPr="001B2EEA"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98,50</w:t>
            </w:r>
          </w:p>
        </w:tc>
        <w:tc>
          <w:tcPr>
            <w:tcW w:w="1780"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104,4</w:t>
            </w:r>
          </w:p>
        </w:tc>
        <w:tc>
          <w:tcPr>
            <w:tcW w:w="1338"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90,4</w:t>
            </w:r>
          </w:p>
        </w:tc>
      </w:tr>
      <w:tr w:rsidR="001E42D5" w:rsidRPr="008259AC" w:rsidTr="00FC462C">
        <w:trPr>
          <w:trHeight w:val="354"/>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İhracat sipariş miktarı (Gelecek 3 ay)</w:t>
            </w:r>
          </w:p>
        </w:tc>
        <w:tc>
          <w:tcPr>
            <w:tcW w:w="916" w:type="dxa"/>
            <w:noWrap/>
            <w:vAlign w:val="bottom"/>
            <w:hideMark/>
          </w:tcPr>
          <w:p w:rsidR="001E42D5" w:rsidRPr="001B2EEA"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125,40</w:t>
            </w:r>
          </w:p>
        </w:tc>
        <w:tc>
          <w:tcPr>
            <w:tcW w:w="1780"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136,1</w:t>
            </w:r>
          </w:p>
        </w:tc>
        <w:tc>
          <w:tcPr>
            <w:tcW w:w="1338"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120,3</w:t>
            </w:r>
          </w:p>
        </w:tc>
      </w:tr>
      <w:tr w:rsidR="001E42D5" w:rsidRPr="008259AC" w:rsidTr="00FC46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Sabit sermaye yatırım harcaması</w:t>
            </w:r>
          </w:p>
        </w:tc>
        <w:tc>
          <w:tcPr>
            <w:tcW w:w="916" w:type="dxa"/>
            <w:noWrap/>
            <w:vAlign w:val="bottom"/>
            <w:hideMark/>
          </w:tcPr>
          <w:p w:rsidR="001E42D5" w:rsidRPr="001B2EEA"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108,70</w:t>
            </w:r>
          </w:p>
        </w:tc>
        <w:tc>
          <w:tcPr>
            <w:tcW w:w="1780"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119,5</w:t>
            </w:r>
          </w:p>
        </w:tc>
        <w:tc>
          <w:tcPr>
            <w:tcW w:w="1338" w:type="dxa"/>
            <w:noWrap/>
            <w:vAlign w:val="center"/>
          </w:tcPr>
          <w:p w:rsidR="001E42D5" w:rsidRPr="00A95231" w:rsidRDefault="001E42D5"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105,9</w:t>
            </w:r>
          </w:p>
        </w:tc>
      </w:tr>
      <w:tr w:rsidR="001E42D5" w:rsidRPr="008259AC" w:rsidTr="00FC462C">
        <w:trPr>
          <w:trHeight w:val="340"/>
        </w:trPr>
        <w:tc>
          <w:tcPr>
            <w:cnfStyle w:val="001000000000" w:firstRow="0" w:lastRow="0" w:firstColumn="1" w:lastColumn="0" w:oddVBand="0" w:evenVBand="0" w:oddHBand="0" w:evenHBand="0" w:firstRowFirstColumn="0" w:firstRowLastColumn="0" w:lastRowFirstColumn="0" w:lastRowLastColumn="0"/>
            <w:tcW w:w="4219" w:type="dxa"/>
            <w:hideMark/>
          </w:tcPr>
          <w:p w:rsidR="001E42D5" w:rsidRPr="008259AC" w:rsidRDefault="001E42D5" w:rsidP="00FC462C">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Genel gidişat</w:t>
            </w:r>
          </w:p>
        </w:tc>
        <w:tc>
          <w:tcPr>
            <w:tcW w:w="916" w:type="dxa"/>
            <w:noWrap/>
            <w:vAlign w:val="bottom"/>
            <w:hideMark/>
          </w:tcPr>
          <w:p w:rsidR="001E42D5" w:rsidRPr="001B2EEA"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B2EEA">
              <w:rPr>
                <w:rFonts w:ascii="Times New Roman" w:hAnsi="Times New Roman" w:cs="Times New Roman"/>
                <w:color w:val="000000"/>
                <w:sz w:val="20"/>
                <w:szCs w:val="20"/>
              </w:rPr>
              <w:t>95,30</w:t>
            </w:r>
          </w:p>
        </w:tc>
        <w:tc>
          <w:tcPr>
            <w:tcW w:w="1780"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100,0</w:t>
            </w:r>
          </w:p>
        </w:tc>
        <w:tc>
          <w:tcPr>
            <w:tcW w:w="1338" w:type="dxa"/>
            <w:noWrap/>
            <w:vAlign w:val="center"/>
          </w:tcPr>
          <w:p w:rsidR="001E42D5" w:rsidRPr="00A95231" w:rsidRDefault="001E42D5"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A95231">
              <w:rPr>
                <w:rFonts w:ascii="Times New Roman" w:hAnsi="Times New Roman" w:cs="Times New Roman"/>
                <w:color w:val="0D0D0D"/>
                <w:sz w:val="20"/>
                <w:szCs w:val="20"/>
              </w:rPr>
              <w:t>95,9</w:t>
            </w:r>
          </w:p>
        </w:tc>
      </w:tr>
    </w:tbl>
    <w:p w:rsidR="001E42D5" w:rsidRDefault="001E42D5" w:rsidP="001E42D5">
      <w:pPr>
        <w:pStyle w:val="Default"/>
        <w:rPr>
          <w:rFonts w:ascii="Times New Roman" w:hAnsi="Times New Roman" w:cs="Times New Roman"/>
          <w:b/>
          <w:bCs/>
          <w:i/>
          <w:sz w:val="16"/>
        </w:rPr>
      </w:pPr>
      <w:r w:rsidRPr="008823B0">
        <w:rPr>
          <w:rFonts w:ascii="Times New Roman" w:hAnsi="Times New Roman" w:cs="Times New Roman"/>
          <w:b/>
          <w:bCs/>
          <w:i/>
          <w:sz w:val="16"/>
        </w:rPr>
        <w:t xml:space="preserve">(*) Mamul mal stok miktarı yayılma endeksi oluşturulurken ters kodlanmaktadır. Yayılma endeksinin artışı stok azalışına, </w:t>
      </w:r>
    </w:p>
    <w:p w:rsidR="001E42D5" w:rsidRPr="008823B0" w:rsidRDefault="001E42D5" w:rsidP="001E42D5">
      <w:pPr>
        <w:pStyle w:val="Default"/>
        <w:rPr>
          <w:rFonts w:ascii="Times New Roman" w:hAnsi="Times New Roman" w:cs="Times New Roman"/>
          <w:b/>
          <w:bCs/>
          <w:i/>
          <w:sz w:val="16"/>
        </w:rPr>
      </w:pPr>
      <w:proofErr w:type="gramStart"/>
      <w:r w:rsidRPr="008823B0">
        <w:rPr>
          <w:rFonts w:ascii="Times New Roman" w:hAnsi="Times New Roman" w:cs="Times New Roman"/>
          <w:b/>
          <w:bCs/>
          <w:i/>
          <w:sz w:val="16"/>
        </w:rPr>
        <w:t>azalışı</w:t>
      </w:r>
      <w:proofErr w:type="gramEnd"/>
      <w:r w:rsidRPr="008823B0">
        <w:rPr>
          <w:rFonts w:ascii="Times New Roman" w:hAnsi="Times New Roman" w:cs="Times New Roman"/>
          <w:b/>
          <w:bCs/>
          <w:i/>
          <w:sz w:val="16"/>
        </w:rPr>
        <w:t xml:space="preserve"> stok artışına işaret etmektedir.</w:t>
      </w:r>
    </w:p>
    <w:p w:rsidR="00AD5FD0" w:rsidRDefault="00AD5FD0"/>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p w:rsidR="00A43B2D" w:rsidRDefault="00A43B2D"/>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3"/>
        <w:gridCol w:w="4266"/>
      </w:tblGrid>
      <w:tr w:rsidR="00BE7FFD" w:rsidRPr="009C3D5A" w:rsidTr="00FC462C">
        <w:trPr>
          <w:trHeight w:val="915"/>
        </w:trPr>
        <w:tc>
          <w:tcPr>
            <w:tcW w:w="5644" w:type="dxa"/>
            <w:vAlign w:val="center"/>
          </w:tcPr>
          <w:p w:rsidR="00A43B2D" w:rsidRPr="009C3D5A" w:rsidRDefault="00A43B2D" w:rsidP="00FC462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lastRenderedPageBreak/>
              <w:t>2019</w:t>
            </w:r>
            <w:r w:rsidRPr="009C3D5A">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ŞUBAT</w:t>
            </w:r>
            <w:r w:rsidRPr="009C3D5A">
              <w:rPr>
                <w:rFonts w:asciiTheme="majorHAnsi" w:eastAsiaTheme="majorEastAsia" w:hAnsiTheme="majorHAnsi" w:cstheme="majorBidi"/>
                <w:sz w:val="36"/>
                <w:szCs w:val="36"/>
              </w:rPr>
              <w:t xml:space="preserve"> </w:t>
            </w:r>
          </w:p>
          <w:p w:rsidR="00A43B2D" w:rsidRPr="009C3D5A" w:rsidRDefault="00A43B2D" w:rsidP="00FC462C">
            <w:pPr>
              <w:pStyle w:val="stbilgi"/>
              <w:jc w:val="right"/>
              <w:rPr>
                <w:rFonts w:asciiTheme="majorHAnsi" w:eastAsiaTheme="majorEastAsia" w:hAnsiTheme="majorHAnsi" w:cstheme="majorBidi"/>
                <w:sz w:val="36"/>
                <w:szCs w:val="36"/>
              </w:rPr>
            </w:pPr>
            <w:r w:rsidRPr="009C3D5A">
              <w:rPr>
                <w:rFonts w:asciiTheme="majorHAnsi" w:eastAsiaTheme="majorEastAsia" w:hAnsiTheme="majorHAnsi" w:cstheme="majorBidi"/>
                <w:sz w:val="36"/>
                <w:szCs w:val="36"/>
              </w:rPr>
              <w:t>DIŞ TİCARET BÜLTENİ</w:t>
            </w:r>
          </w:p>
        </w:tc>
        <w:tc>
          <w:tcPr>
            <w:tcW w:w="4678" w:type="dxa"/>
          </w:tcPr>
          <w:p w:rsidR="00A43B2D" w:rsidRPr="00BE7FFD" w:rsidRDefault="00BE7FFD" w:rsidP="00BE7FFD">
            <w:pPr>
              <w:pStyle w:val="stbilgi"/>
              <w:spacing w:line="276" w:lineRule="auto"/>
              <w:jc w:val="center"/>
              <w:rPr>
                <w:rFonts w:asciiTheme="majorHAnsi" w:eastAsiaTheme="majorEastAsia" w:hAnsiTheme="majorHAnsi" w:cstheme="majorBidi"/>
                <w:bCs/>
                <w:sz w:val="28"/>
                <w:szCs w:val="36"/>
              </w:rPr>
            </w:pPr>
            <w:r w:rsidRPr="00BE7FFD">
              <w:rPr>
                <w:rFonts w:asciiTheme="majorHAnsi" w:eastAsiaTheme="majorEastAsia" w:hAnsiTheme="majorHAnsi" w:cstheme="majorBidi"/>
                <w:bCs/>
                <w:color w:val="FF0000"/>
                <w:sz w:val="28"/>
                <w:szCs w:val="36"/>
              </w:rPr>
              <w:t>Şubat ayı verileri Mart ayında yayınlanmıştır.</w:t>
            </w:r>
            <w:r w:rsidR="00A43B2D" w:rsidRPr="009C3D5A">
              <w:rPr>
                <w:rFonts w:asciiTheme="majorHAnsi" w:eastAsiaTheme="majorEastAsia" w:hAnsiTheme="majorHAnsi" w:cstheme="majorBidi"/>
                <w:bCs/>
                <w:sz w:val="28"/>
                <w:szCs w:val="36"/>
              </w:rPr>
              <w:t xml:space="preserve">     </w:t>
            </w:r>
          </w:p>
        </w:tc>
      </w:tr>
    </w:tbl>
    <w:p w:rsidR="00A43B2D" w:rsidRPr="009C3D5A" w:rsidRDefault="00A43B2D" w:rsidP="00A43B2D">
      <w:pPr>
        <w:pStyle w:val="stbilgi"/>
      </w:pPr>
    </w:p>
    <w:p w:rsidR="00A43B2D" w:rsidRPr="009C3D5A" w:rsidRDefault="00A43B2D" w:rsidP="00A43B2D">
      <w:pPr>
        <w:jc w:val="both"/>
        <w:rPr>
          <w:b/>
        </w:rPr>
      </w:pPr>
      <w:r>
        <w:rPr>
          <w:b/>
        </w:rPr>
        <w:t>Şubat</w:t>
      </w:r>
      <w:r w:rsidRPr="009C3D5A">
        <w:rPr>
          <w:b/>
        </w:rPr>
        <w:t xml:space="preserve"> 201</w:t>
      </w:r>
      <w:r>
        <w:rPr>
          <w:b/>
        </w:rPr>
        <w:t>9 d</w:t>
      </w:r>
      <w:r w:rsidRPr="009C3D5A">
        <w:rPr>
          <w:b/>
        </w:rPr>
        <w:t>ış ticaret istatistiklerine ilişkin veriler Türkiye İstati</w:t>
      </w:r>
      <w:r>
        <w:rPr>
          <w:b/>
        </w:rPr>
        <w:t>stik Kurumu (TÜİK) tarafından 29 Mart</w:t>
      </w:r>
      <w:r w:rsidRPr="009C3D5A">
        <w:rPr>
          <w:b/>
        </w:rPr>
        <w:t xml:space="preserve"> 201</w:t>
      </w:r>
      <w:r>
        <w:rPr>
          <w:b/>
        </w:rPr>
        <w:t>9</w:t>
      </w:r>
      <w:r w:rsidRPr="009C3D5A">
        <w:rPr>
          <w:b/>
        </w:rPr>
        <w:t xml:space="preserve"> tarihinde yayımlandı.</w:t>
      </w:r>
    </w:p>
    <w:p w:rsidR="00A43B2D" w:rsidRPr="009C3D5A" w:rsidRDefault="00A43B2D" w:rsidP="00A43B2D">
      <w:pPr>
        <w:jc w:val="both"/>
      </w:pPr>
      <w:r w:rsidRPr="009C3D5A">
        <w:t>TÜİK</w:t>
      </w:r>
      <w:r>
        <w:t>,</w:t>
      </w:r>
      <w:r w:rsidRPr="009C3D5A">
        <w:t xml:space="preserve"> Gümrük ve Ticaret Bakanlığı işbirliği ile hazırladığı dış ticaret verilerini aylık olarak yayınlamaktadır. </w:t>
      </w:r>
    </w:p>
    <w:p w:rsidR="00A43B2D" w:rsidRPr="009C3D5A" w:rsidRDefault="00A43B2D" w:rsidP="00A43B2D">
      <w:pPr>
        <w:jc w:val="both"/>
      </w:pPr>
      <w:r>
        <w:t>Şubat</w:t>
      </w:r>
      <w:r w:rsidRPr="009C3D5A">
        <w:t xml:space="preserve"> ayında Türkiye’nin ihracatı</w:t>
      </w:r>
      <w:r>
        <w:t>,</w:t>
      </w:r>
      <w:r w:rsidRPr="009C3D5A">
        <w:t xml:space="preserve"> bir önceki yılın aynı ayına göre yü</w:t>
      </w:r>
      <w:r>
        <w:t>zde 3,4 artarak 13</w:t>
      </w:r>
      <w:r w:rsidRPr="009C3D5A">
        <w:t xml:space="preserve"> milyar</w:t>
      </w:r>
      <w:r>
        <w:t xml:space="preserve"> 593 milyon dolar oldu</w:t>
      </w:r>
      <w:r w:rsidRPr="009C3D5A">
        <w:t xml:space="preserve">. </w:t>
      </w:r>
      <w:r>
        <w:t>Şubat</w:t>
      </w:r>
      <w:r w:rsidRPr="009C3D5A">
        <w:t xml:space="preserve"> ayı </w:t>
      </w:r>
      <w:r>
        <w:t>ithalatı, bir önceki yılın aynı ayına göre</w:t>
      </w:r>
      <w:r w:rsidRPr="009C3D5A">
        <w:t xml:space="preserve"> yüzde </w:t>
      </w:r>
      <w:r>
        <w:t>16,9 azalarak 15 milyar 727 milyon dolar olarak gerçekleşti</w:t>
      </w:r>
      <w:r w:rsidRPr="009C3D5A">
        <w:t xml:space="preserve">. </w:t>
      </w:r>
      <w:r>
        <w:t>Buna göre Şubat ayı dış ticaret açığı,</w:t>
      </w:r>
      <w:r w:rsidRPr="009C3D5A">
        <w:t xml:space="preserve"> yüzde </w:t>
      </w:r>
      <w:r>
        <w:t>63,1</w:t>
      </w:r>
      <w:r w:rsidRPr="009C3D5A">
        <w:t xml:space="preserve"> </w:t>
      </w:r>
      <w:r>
        <w:t>azalarak</w:t>
      </w:r>
      <w:r w:rsidRPr="009C3D5A">
        <w:t xml:space="preserve"> </w:t>
      </w:r>
      <w:r>
        <w:t>2</w:t>
      </w:r>
      <w:r w:rsidRPr="009C3D5A">
        <w:t xml:space="preserve"> milyar </w:t>
      </w:r>
      <w:r>
        <w:t>134 milyon dolara geriledi. 2018 Şubat ayında yüzde 69,4 olan ihracatın ithalatı karşılama oranı ise 2019 Şubat ayında yüzde 86,4’e yükseldi.</w:t>
      </w:r>
    </w:p>
    <w:p w:rsidR="00A43B2D" w:rsidRPr="009C3D5A" w:rsidRDefault="00A43B2D" w:rsidP="00A43B2D">
      <w:pPr>
        <w:spacing w:after="0" w:line="240" w:lineRule="auto"/>
        <w:rPr>
          <w:rFonts w:eastAsia="Times New Roman" w:cs="Times New Roman"/>
          <w:b/>
          <w:bCs/>
          <w:kern w:val="36"/>
          <w:sz w:val="24"/>
          <w:szCs w:val="24"/>
        </w:rPr>
      </w:pPr>
      <w:r w:rsidRPr="009C3D5A">
        <w:rPr>
          <w:rFonts w:eastAsia="Times New Roman" w:cs="Times New Roman"/>
          <w:b/>
          <w:bCs/>
          <w:kern w:val="36"/>
          <w:sz w:val="24"/>
          <w:szCs w:val="24"/>
        </w:rPr>
        <w:t xml:space="preserve">Şekil 1: Aylara göre </w:t>
      </w:r>
      <w:r>
        <w:rPr>
          <w:rFonts w:eastAsia="Times New Roman" w:cs="Times New Roman"/>
          <w:b/>
          <w:bCs/>
          <w:kern w:val="36"/>
          <w:sz w:val="24"/>
          <w:szCs w:val="24"/>
        </w:rPr>
        <w:t>ihracat, milyar</w:t>
      </w:r>
      <w:r w:rsidRPr="009C3D5A">
        <w:rPr>
          <w:rFonts w:eastAsia="Times New Roman" w:cs="Times New Roman"/>
          <w:b/>
          <w:bCs/>
          <w:kern w:val="36"/>
          <w:sz w:val="24"/>
          <w:szCs w:val="24"/>
        </w:rPr>
        <w:t xml:space="preserve"> $ </w:t>
      </w:r>
      <w:r>
        <w:rPr>
          <w:rFonts w:eastAsia="Times New Roman" w:cs="Times New Roman"/>
          <w:b/>
          <w:bCs/>
          <w:kern w:val="36"/>
          <w:sz w:val="24"/>
          <w:szCs w:val="24"/>
        </w:rPr>
        <w:t xml:space="preserve"> (2018-2019 Ocak-Aralık</w:t>
      </w:r>
      <w:r w:rsidRPr="009C3D5A">
        <w:rPr>
          <w:rFonts w:eastAsia="Times New Roman" w:cs="Times New Roman"/>
          <w:b/>
          <w:bCs/>
          <w:kern w:val="36"/>
          <w:sz w:val="24"/>
          <w:szCs w:val="24"/>
        </w:rPr>
        <w:t>)</w:t>
      </w:r>
    </w:p>
    <w:p w:rsidR="00A43B2D" w:rsidRPr="009C3D5A" w:rsidRDefault="00A43B2D" w:rsidP="00A43B2D">
      <w:pPr>
        <w:spacing w:after="0" w:line="240" w:lineRule="auto"/>
        <w:rPr>
          <w:rFonts w:eastAsia="Times New Roman" w:cs="Times New Roman"/>
          <w:b/>
          <w:bCs/>
          <w:kern w:val="36"/>
          <w:sz w:val="24"/>
          <w:szCs w:val="24"/>
        </w:rPr>
      </w:pPr>
      <w:r>
        <w:rPr>
          <w:noProof/>
        </w:rPr>
        <w:drawing>
          <wp:inline distT="0" distB="0" distL="0" distR="0" wp14:anchorId="2C170E30" wp14:editId="0B880FBF">
            <wp:extent cx="5779008" cy="1389888"/>
            <wp:effectExtent l="0" t="0" r="0" b="127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3B2D" w:rsidRPr="008D17ED" w:rsidRDefault="00A43B2D" w:rsidP="00A43B2D">
      <w:pPr>
        <w:spacing w:after="0" w:line="240" w:lineRule="auto"/>
        <w:rPr>
          <w:rFonts w:eastAsia="Times New Roman" w:cs="Times New Roman"/>
          <w:b/>
          <w:bCs/>
          <w:kern w:val="36"/>
          <w:sz w:val="16"/>
          <w:szCs w:val="24"/>
        </w:rPr>
      </w:pPr>
      <w:r w:rsidRPr="008D17ED">
        <w:rPr>
          <w:rFonts w:eastAsia="Times New Roman" w:cs="Times New Roman"/>
          <w:b/>
          <w:bCs/>
          <w:kern w:val="36"/>
          <w:sz w:val="16"/>
          <w:szCs w:val="24"/>
        </w:rPr>
        <w:t>Kaynak: TÜİK</w:t>
      </w:r>
    </w:p>
    <w:p w:rsidR="00A43B2D" w:rsidRPr="009C3D5A" w:rsidRDefault="00A43B2D" w:rsidP="00A43B2D">
      <w:pPr>
        <w:spacing w:after="0" w:line="240" w:lineRule="auto"/>
        <w:rPr>
          <w:rFonts w:eastAsia="Times New Roman" w:cs="Times New Roman"/>
          <w:bCs/>
          <w:kern w:val="36"/>
          <w:sz w:val="18"/>
          <w:szCs w:val="24"/>
        </w:rPr>
      </w:pPr>
    </w:p>
    <w:p w:rsidR="00A43B2D" w:rsidRDefault="00A43B2D" w:rsidP="00A43B2D">
      <w:pPr>
        <w:spacing w:after="0" w:line="240" w:lineRule="auto"/>
        <w:rPr>
          <w:rFonts w:eastAsia="Times New Roman" w:cs="Times New Roman"/>
          <w:b/>
          <w:bCs/>
          <w:kern w:val="36"/>
          <w:sz w:val="24"/>
          <w:szCs w:val="24"/>
        </w:rPr>
      </w:pPr>
      <w:r>
        <w:rPr>
          <w:rFonts w:eastAsia="Times New Roman" w:cs="Times New Roman"/>
          <w:b/>
          <w:bCs/>
          <w:kern w:val="36"/>
          <w:sz w:val="24"/>
          <w:szCs w:val="24"/>
        </w:rPr>
        <w:t>Şekil 2</w:t>
      </w:r>
      <w:r w:rsidRPr="009C3D5A">
        <w:rPr>
          <w:rFonts w:eastAsia="Times New Roman" w:cs="Times New Roman"/>
          <w:b/>
          <w:bCs/>
          <w:kern w:val="36"/>
          <w:sz w:val="24"/>
          <w:szCs w:val="24"/>
        </w:rPr>
        <w:t xml:space="preserve">: Aylara göre </w:t>
      </w:r>
      <w:r>
        <w:rPr>
          <w:rFonts w:eastAsia="Times New Roman" w:cs="Times New Roman"/>
          <w:b/>
          <w:bCs/>
          <w:kern w:val="36"/>
          <w:sz w:val="24"/>
          <w:szCs w:val="24"/>
        </w:rPr>
        <w:t>ithalat, milyar</w:t>
      </w:r>
      <w:r w:rsidRPr="009C3D5A">
        <w:rPr>
          <w:rFonts w:eastAsia="Times New Roman" w:cs="Times New Roman"/>
          <w:b/>
          <w:bCs/>
          <w:kern w:val="36"/>
          <w:sz w:val="24"/>
          <w:szCs w:val="24"/>
        </w:rPr>
        <w:t xml:space="preserve"> $ </w:t>
      </w:r>
      <w:r>
        <w:rPr>
          <w:rFonts w:eastAsia="Times New Roman" w:cs="Times New Roman"/>
          <w:b/>
          <w:bCs/>
          <w:kern w:val="36"/>
          <w:sz w:val="24"/>
          <w:szCs w:val="24"/>
        </w:rPr>
        <w:t xml:space="preserve"> (2018-2019 Ocak-Aralık</w:t>
      </w:r>
      <w:r w:rsidRPr="009C3D5A">
        <w:rPr>
          <w:rFonts w:eastAsia="Times New Roman" w:cs="Times New Roman"/>
          <w:b/>
          <w:bCs/>
          <w:kern w:val="36"/>
          <w:sz w:val="24"/>
          <w:szCs w:val="24"/>
        </w:rPr>
        <w:t>)</w:t>
      </w:r>
    </w:p>
    <w:p w:rsidR="00A43B2D" w:rsidRDefault="00A43B2D" w:rsidP="00A43B2D">
      <w:pPr>
        <w:spacing w:after="0" w:line="240" w:lineRule="auto"/>
        <w:rPr>
          <w:rFonts w:eastAsia="Times New Roman" w:cs="Times New Roman"/>
          <w:b/>
          <w:bCs/>
          <w:kern w:val="36"/>
          <w:sz w:val="24"/>
          <w:szCs w:val="24"/>
        </w:rPr>
      </w:pPr>
      <w:r>
        <w:rPr>
          <w:noProof/>
        </w:rPr>
        <w:drawing>
          <wp:inline distT="0" distB="0" distL="0" distR="0" wp14:anchorId="7DD0D0B9" wp14:editId="4EE44E34">
            <wp:extent cx="5778500" cy="1450848"/>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3B2D" w:rsidRDefault="00A43B2D" w:rsidP="00A43B2D">
      <w:pPr>
        <w:spacing w:after="0" w:line="240" w:lineRule="auto"/>
        <w:rPr>
          <w:rFonts w:eastAsia="Times New Roman" w:cs="Times New Roman"/>
          <w:b/>
          <w:bCs/>
          <w:kern w:val="36"/>
          <w:sz w:val="16"/>
          <w:szCs w:val="24"/>
        </w:rPr>
      </w:pPr>
      <w:r w:rsidRPr="00DB359A">
        <w:rPr>
          <w:rFonts w:eastAsia="Times New Roman" w:cs="Times New Roman"/>
          <w:b/>
          <w:bCs/>
          <w:kern w:val="36"/>
          <w:sz w:val="14"/>
          <w:szCs w:val="24"/>
        </w:rPr>
        <w:t xml:space="preserve"> </w:t>
      </w:r>
      <w:r w:rsidRPr="008D17ED">
        <w:rPr>
          <w:rFonts w:eastAsia="Times New Roman" w:cs="Times New Roman"/>
          <w:b/>
          <w:bCs/>
          <w:kern w:val="36"/>
          <w:sz w:val="16"/>
          <w:szCs w:val="24"/>
        </w:rPr>
        <w:t>Kaynak: TÜİK</w:t>
      </w:r>
    </w:p>
    <w:p w:rsidR="00A43B2D" w:rsidRDefault="00A43B2D" w:rsidP="00A43B2D">
      <w:pPr>
        <w:spacing w:after="0" w:line="240" w:lineRule="auto"/>
      </w:pPr>
    </w:p>
    <w:p w:rsidR="00A43B2D" w:rsidRDefault="00A43B2D" w:rsidP="00A43B2D">
      <w:pPr>
        <w:spacing w:after="0" w:line="240" w:lineRule="auto"/>
      </w:pPr>
      <w:r w:rsidRPr="00E86C2E">
        <w:t>İhracat rakamları</w:t>
      </w:r>
      <w:r>
        <w:t xml:space="preserve"> 2019’in ikinci ayında bir önceki aya göre yüzde 3,1 artış; bir önceki yılın aynı ayına göre ise yüzde 3,4 artış gösterirken, 13,6 milyar dolar olarak gerçekleşti. 2019 yılına düşüşle başlayan ithalat rakamları 2019</w:t>
      </w:r>
      <w:r w:rsidRPr="009C3D5A">
        <w:t xml:space="preserve"> </w:t>
      </w:r>
      <w:r>
        <w:t>Ocak ayında 15,7</w:t>
      </w:r>
      <w:r w:rsidRPr="009C3D5A">
        <w:t xml:space="preserve"> milyar dolar olan </w:t>
      </w:r>
      <w:r>
        <w:t>iken,</w:t>
      </w:r>
      <w:r w:rsidRPr="009C3D5A">
        <w:t xml:space="preserve"> </w:t>
      </w:r>
      <w:r>
        <w:t>2019 Şubat ayında da aynı seviyede seyretti.</w:t>
      </w:r>
    </w:p>
    <w:p w:rsidR="00A43B2D" w:rsidRDefault="00A43B2D" w:rsidP="00A43B2D">
      <w:pPr>
        <w:spacing w:after="0" w:line="240" w:lineRule="auto"/>
      </w:pPr>
    </w:p>
    <w:p w:rsidR="00A43B2D" w:rsidRDefault="00A43B2D" w:rsidP="00A43B2D">
      <w:pPr>
        <w:spacing w:after="0" w:line="240" w:lineRule="auto"/>
      </w:pPr>
    </w:p>
    <w:p w:rsidR="00A43B2D" w:rsidRDefault="00A43B2D" w:rsidP="00A43B2D">
      <w:pPr>
        <w:spacing w:after="0" w:line="240" w:lineRule="auto"/>
      </w:pPr>
    </w:p>
    <w:p w:rsidR="00A43B2D" w:rsidRDefault="00A43B2D" w:rsidP="00A43B2D">
      <w:pPr>
        <w:spacing w:after="0" w:line="240" w:lineRule="auto"/>
      </w:pPr>
    </w:p>
    <w:p w:rsidR="00A43B2D" w:rsidRDefault="00A43B2D" w:rsidP="00A43B2D">
      <w:pPr>
        <w:spacing w:after="0" w:line="240" w:lineRule="auto"/>
      </w:pPr>
    </w:p>
    <w:p w:rsidR="00A43B2D" w:rsidRDefault="00A43B2D" w:rsidP="00A43B2D">
      <w:pPr>
        <w:spacing w:after="0" w:line="240" w:lineRule="auto"/>
      </w:pPr>
    </w:p>
    <w:p w:rsidR="00A43B2D" w:rsidRDefault="00A43B2D" w:rsidP="00A43B2D">
      <w:pPr>
        <w:spacing w:after="0" w:line="240" w:lineRule="auto"/>
      </w:pPr>
    </w:p>
    <w:p w:rsidR="00A43B2D" w:rsidRPr="00CA6A1E" w:rsidRDefault="00A43B2D" w:rsidP="00A43B2D">
      <w:pPr>
        <w:spacing w:after="0" w:line="240" w:lineRule="auto"/>
        <w:rPr>
          <w:rFonts w:eastAsia="Times New Roman" w:cs="Times New Roman"/>
          <w:b/>
          <w:bCs/>
          <w:kern w:val="36"/>
          <w:sz w:val="14"/>
          <w:szCs w:val="24"/>
        </w:rPr>
      </w:pPr>
    </w:p>
    <w:p w:rsidR="00A43B2D" w:rsidRDefault="00A43B2D" w:rsidP="00A43B2D">
      <w:pPr>
        <w:spacing w:after="0" w:line="240" w:lineRule="auto"/>
        <w:rPr>
          <w:rFonts w:eastAsia="Times New Roman" w:cs="Times New Roman"/>
          <w:b/>
          <w:bCs/>
          <w:kern w:val="36"/>
          <w:sz w:val="24"/>
          <w:szCs w:val="24"/>
        </w:rPr>
      </w:pPr>
      <w:r>
        <w:rPr>
          <w:rFonts w:eastAsia="Times New Roman" w:cs="Times New Roman"/>
          <w:b/>
          <w:bCs/>
          <w:kern w:val="36"/>
          <w:sz w:val="24"/>
          <w:szCs w:val="24"/>
        </w:rPr>
        <w:t>Şekil 3</w:t>
      </w:r>
      <w:r w:rsidRPr="009C3D5A">
        <w:rPr>
          <w:rFonts w:eastAsia="Times New Roman" w:cs="Times New Roman"/>
          <w:b/>
          <w:bCs/>
          <w:kern w:val="36"/>
          <w:sz w:val="24"/>
          <w:szCs w:val="24"/>
        </w:rPr>
        <w:t>:Ülkelere göre</w:t>
      </w:r>
      <w:r>
        <w:rPr>
          <w:rFonts w:eastAsia="Times New Roman" w:cs="Times New Roman"/>
          <w:b/>
          <w:bCs/>
          <w:kern w:val="36"/>
          <w:sz w:val="24"/>
          <w:szCs w:val="24"/>
        </w:rPr>
        <w:t xml:space="preserve"> dış ticaret, $  (2019 Şubat</w:t>
      </w:r>
      <w:r w:rsidRPr="009C3D5A">
        <w:rPr>
          <w:rFonts w:eastAsia="Times New Roman" w:cs="Times New Roman"/>
          <w:b/>
          <w:bCs/>
          <w:kern w:val="36"/>
          <w:sz w:val="24"/>
          <w:szCs w:val="24"/>
        </w:rPr>
        <w:t>)</w:t>
      </w:r>
    </w:p>
    <w:tbl>
      <w:tblPr>
        <w:tblW w:w="3189" w:type="dxa"/>
        <w:tblInd w:w="55" w:type="dxa"/>
        <w:tblCellMar>
          <w:left w:w="70" w:type="dxa"/>
          <w:right w:w="70" w:type="dxa"/>
        </w:tblCellMar>
        <w:tblLook w:val="04A0" w:firstRow="1" w:lastRow="0" w:firstColumn="1" w:lastColumn="0" w:noHBand="0" w:noVBand="1"/>
      </w:tblPr>
      <w:tblGrid>
        <w:gridCol w:w="562"/>
        <w:gridCol w:w="1019"/>
        <w:gridCol w:w="1608"/>
      </w:tblGrid>
      <w:tr w:rsidR="00A43B2D" w:rsidRPr="00587E0B" w:rsidTr="00FC462C">
        <w:trPr>
          <w:trHeight w:val="119"/>
        </w:trPr>
        <w:tc>
          <w:tcPr>
            <w:tcW w:w="562"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lastRenderedPageBreak/>
              <w:t>Sıra</w:t>
            </w:r>
          </w:p>
        </w:tc>
        <w:tc>
          <w:tcPr>
            <w:tcW w:w="1019" w:type="dxa"/>
            <w:tcBorders>
              <w:top w:val="single" w:sz="4" w:space="0" w:color="FFFFFF"/>
              <w:left w:val="nil"/>
              <w:bottom w:val="nil"/>
              <w:right w:val="single" w:sz="4" w:space="0" w:color="FFFFFF"/>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Ülke adı</w:t>
            </w:r>
          </w:p>
        </w:tc>
        <w:tc>
          <w:tcPr>
            <w:tcW w:w="1608" w:type="dxa"/>
            <w:tcBorders>
              <w:top w:val="single" w:sz="4" w:space="0" w:color="FFFFFF"/>
              <w:left w:val="nil"/>
              <w:bottom w:val="nil"/>
              <w:right w:val="single" w:sz="4" w:space="0" w:color="FFFFFF"/>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İhracat</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eastAsia="Times New Roman" w:hAnsi="Arial" w:cs="Arial"/>
                <w:color w:val="000000"/>
                <w:sz w:val="16"/>
                <w:szCs w:val="16"/>
                <w:lang w:eastAsia="en-GB"/>
              </w:rPr>
            </w:pPr>
            <w:r>
              <w:rPr>
                <w:rFonts w:ascii="Arial" w:hAnsi="Arial" w:cs="Arial"/>
                <w:color w:val="000000"/>
                <w:sz w:val="16"/>
                <w:szCs w:val="16"/>
              </w:rPr>
              <w:t>Almanya</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1.224.956.133</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2</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B. Krallık</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857.224.832</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3</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İtalya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815.036.543</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4</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İspanya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741.111.545</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5</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Irak</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657.639.077</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6</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ABD</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611.789.504</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7</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Fransa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578.158.908</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8</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Hollanda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411.533.820</w:t>
            </w:r>
          </w:p>
        </w:tc>
      </w:tr>
      <w:tr w:rsidR="00A43B2D" w:rsidRPr="00587E0B" w:rsidTr="00FC462C">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9</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İsrail</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345.547.871</w:t>
            </w:r>
          </w:p>
        </w:tc>
      </w:tr>
      <w:tr w:rsidR="00A43B2D" w:rsidRPr="00587E0B" w:rsidTr="00FC462C">
        <w:trPr>
          <w:trHeight w:val="276"/>
        </w:trPr>
        <w:tc>
          <w:tcPr>
            <w:tcW w:w="562"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10</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Romanya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322.184.164</w:t>
            </w:r>
          </w:p>
        </w:tc>
      </w:tr>
    </w:tbl>
    <w:tbl>
      <w:tblPr>
        <w:tblpPr w:leftFromText="141" w:rightFromText="141" w:vertAnchor="text" w:horzAnchor="page" w:tblpX="5167" w:tblpY="-4440"/>
        <w:tblW w:w="3379" w:type="dxa"/>
        <w:tblCellMar>
          <w:left w:w="70" w:type="dxa"/>
          <w:right w:w="70" w:type="dxa"/>
        </w:tblCellMar>
        <w:tblLook w:val="04A0" w:firstRow="1" w:lastRow="0" w:firstColumn="1" w:lastColumn="0" w:noHBand="0" w:noVBand="1"/>
      </w:tblPr>
      <w:tblGrid>
        <w:gridCol w:w="724"/>
        <w:gridCol w:w="1047"/>
        <w:gridCol w:w="1608"/>
      </w:tblGrid>
      <w:tr w:rsidR="00A43B2D" w:rsidRPr="00587E0B" w:rsidTr="00FC462C">
        <w:trPr>
          <w:trHeight w:val="2"/>
        </w:trPr>
        <w:tc>
          <w:tcPr>
            <w:tcW w:w="724"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Sıra</w:t>
            </w:r>
          </w:p>
        </w:tc>
        <w:tc>
          <w:tcPr>
            <w:tcW w:w="1047" w:type="dxa"/>
            <w:tcBorders>
              <w:top w:val="single" w:sz="4" w:space="0" w:color="FFFFFF"/>
              <w:left w:val="nil"/>
              <w:bottom w:val="nil"/>
              <w:right w:val="single" w:sz="4" w:space="0" w:color="FFFFFF"/>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Ülke adı</w:t>
            </w:r>
          </w:p>
        </w:tc>
        <w:tc>
          <w:tcPr>
            <w:tcW w:w="1608" w:type="dxa"/>
            <w:tcBorders>
              <w:top w:val="single" w:sz="4" w:space="0" w:color="FFFFFF"/>
              <w:left w:val="nil"/>
              <w:bottom w:val="nil"/>
              <w:right w:val="single" w:sz="4" w:space="0" w:color="FFFFFF"/>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İthalat</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eastAsia="Times New Roman" w:hAnsi="Arial" w:cs="Arial"/>
                <w:color w:val="000000"/>
                <w:sz w:val="16"/>
                <w:szCs w:val="16"/>
                <w:lang w:eastAsia="en-GB"/>
              </w:rPr>
            </w:pPr>
            <w:r>
              <w:rPr>
                <w:rFonts w:ascii="Arial" w:hAnsi="Arial" w:cs="Arial"/>
                <w:color w:val="000000"/>
                <w:sz w:val="16"/>
                <w:szCs w:val="16"/>
              </w:rPr>
              <w:t>Rusya</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1.576.957.278</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2</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Gizli Ülke</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1.372.189.440</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3</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Çin</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1.371.232.685</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4</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Almanya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1.347.310.721</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5</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ABD</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842.001.548</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6</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G. Kore</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667.051.284</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7</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İtalya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597.905.432</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8</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Hindistan</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491.490.704</w:t>
            </w:r>
          </w:p>
        </w:tc>
      </w:tr>
      <w:tr w:rsidR="00A43B2D" w:rsidRPr="00587E0B" w:rsidTr="00FC462C">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9</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İran</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466.113.357</w:t>
            </w:r>
          </w:p>
        </w:tc>
      </w:tr>
      <w:tr w:rsidR="00A43B2D" w:rsidRPr="00587E0B" w:rsidTr="00FC462C">
        <w:trPr>
          <w:trHeight w:val="7"/>
        </w:trPr>
        <w:tc>
          <w:tcPr>
            <w:tcW w:w="724" w:type="dxa"/>
            <w:tcBorders>
              <w:top w:val="nil"/>
              <w:left w:val="single" w:sz="4" w:space="0" w:color="FFFFFF"/>
              <w:bottom w:val="single" w:sz="4" w:space="0" w:color="FFFFFF"/>
              <w:right w:val="nil"/>
            </w:tcBorders>
            <w:shd w:val="clear" w:color="000000" w:fill="002060"/>
            <w:noWrap/>
            <w:vAlign w:val="center"/>
            <w:hideMark/>
          </w:tcPr>
          <w:p w:rsidR="00A43B2D" w:rsidRPr="00587E0B" w:rsidRDefault="00A43B2D" w:rsidP="00FC462C">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10</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Fransa</w:t>
            </w:r>
          </w:p>
        </w:tc>
        <w:tc>
          <w:tcPr>
            <w:tcW w:w="160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441.726.765</w:t>
            </w:r>
          </w:p>
        </w:tc>
      </w:tr>
    </w:tbl>
    <w:p w:rsidR="00A43B2D" w:rsidRPr="00207D30" w:rsidRDefault="00A43B2D" w:rsidP="00A43B2D">
      <w:pPr>
        <w:spacing w:after="0" w:line="240" w:lineRule="auto"/>
        <w:rPr>
          <w:rFonts w:eastAsia="Times New Roman" w:cs="Times New Roman"/>
          <w:b/>
          <w:bCs/>
          <w:kern w:val="36"/>
          <w:sz w:val="16"/>
          <w:szCs w:val="24"/>
        </w:rPr>
      </w:pPr>
      <w:r w:rsidRPr="00207D30">
        <w:rPr>
          <w:rFonts w:eastAsia="Times New Roman" w:cs="Times New Roman"/>
          <w:b/>
          <w:bCs/>
          <w:kern w:val="36"/>
          <w:sz w:val="16"/>
          <w:szCs w:val="24"/>
        </w:rPr>
        <w:t>Kaynak: TÜİK</w:t>
      </w:r>
    </w:p>
    <w:p w:rsidR="00A43B2D" w:rsidRPr="009C3D5A" w:rsidRDefault="00A43B2D" w:rsidP="00A43B2D">
      <w:pPr>
        <w:spacing w:after="0" w:line="240" w:lineRule="auto"/>
        <w:rPr>
          <w:rFonts w:eastAsia="Times New Roman" w:cs="Times New Roman"/>
          <w:bCs/>
          <w:kern w:val="36"/>
          <w:sz w:val="18"/>
          <w:szCs w:val="24"/>
        </w:rPr>
      </w:pPr>
    </w:p>
    <w:p w:rsidR="00A43B2D" w:rsidRDefault="00A43B2D" w:rsidP="00A43B2D">
      <w:pPr>
        <w:jc w:val="both"/>
        <w:rPr>
          <w:rFonts w:eastAsia="Times New Roman" w:cs="Times New Roman"/>
          <w:b/>
          <w:bCs/>
          <w:kern w:val="36"/>
          <w:sz w:val="24"/>
          <w:szCs w:val="24"/>
        </w:rPr>
      </w:pPr>
      <w:r>
        <w:t xml:space="preserve">Türkiye, </w:t>
      </w:r>
      <w:r w:rsidRPr="009C3D5A">
        <w:t>201</w:t>
      </w:r>
      <w:r>
        <w:t>9</w:t>
      </w:r>
      <w:r w:rsidRPr="009C3D5A">
        <w:t xml:space="preserve"> </w:t>
      </w:r>
      <w:r>
        <w:t>Şubat ayında</w:t>
      </w:r>
      <w:r w:rsidRPr="009C3D5A">
        <w:t xml:space="preserve"> en fazla ihracatı</w:t>
      </w:r>
      <w:r>
        <w:t xml:space="preserve"> Almanya’ya yapmıştır. 1,22</w:t>
      </w:r>
      <w:r w:rsidRPr="009C3D5A">
        <w:t xml:space="preserve"> milyar dolarlık ihracat ile Almanya birinci sırada yer alırken Almanya’yı sırası ile </w:t>
      </w:r>
      <w:r>
        <w:t>857,2</w:t>
      </w:r>
      <w:r w:rsidRPr="009C3D5A">
        <w:t xml:space="preserve"> </w:t>
      </w:r>
      <w:r>
        <w:t>milyon</w:t>
      </w:r>
      <w:r w:rsidRPr="009C3D5A">
        <w:t xml:space="preserve"> dolar ile</w:t>
      </w:r>
      <w:r>
        <w:t xml:space="preserve"> B. Krallık</w:t>
      </w:r>
      <w:r w:rsidRPr="009C3D5A">
        <w:t xml:space="preserve">, </w:t>
      </w:r>
      <w:r>
        <w:t>815</w:t>
      </w:r>
      <w:r w:rsidRPr="009C3D5A">
        <w:t xml:space="preserve"> </w:t>
      </w:r>
      <w:r>
        <w:t>milyon</w:t>
      </w:r>
      <w:r w:rsidRPr="009C3D5A">
        <w:t xml:space="preserve"> dolar ile </w:t>
      </w:r>
      <w:r>
        <w:t>İtalya</w:t>
      </w:r>
      <w:r w:rsidRPr="009C3D5A">
        <w:t xml:space="preserve"> ve </w:t>
      </w:r>
      <w:r>
        <w:t>741,1 milyon</w:t>
      </w:r>
      <w:r w:rsidRPr="009C3D5A">
        <w:t xml:space="preserve"> dolar ile</w:t>
      </w:r>
      <w:r>
        <w:t xml:space="preserve"> İspanya </w:t>
      </w:r>
      <w:r w:rsidRPr="009C3D5A">
        <w:t>takip etmektedir. İth</w:t>
      </w:r>
      <w:r>
        <w:t>alatta ise Rusya lider konumdadır. Türkiye’nin 2019</w:t>
      </w:r>
      <w:r w:rsidRPr="009C3D5A">
        <w:t xml:space="preserve"> </w:t>
      </w:r>
      <w:r>
        <w:t>Şubat</w:t>
      </w:r>
      <w:r w:rsidRPr="009C3D5A">
        <w:t xml:space="preserve"> </w:t>
      </w:r>
      <w:r>
        <w:t>ayında Rusya’dan</w:t>
      </w:r>
      <w:r w:rsidRPr="009C3D5A">
        <w:t xml:space="preserve"> yaptığı ithalat </w:t>
      </w:r>
      <w:r>
        <w:t>1,58</w:t>
      </w:r>
      <w:r w:rsidRPr="009C3D5A">
        <w:t xml:space="preserve"> milyar dolar olup </w:t>
      </w:r>
      <w:r>
        <w:t>Rusya’yı</w:t>
      </w:r>
      <w:r w:rsidRPr="009C3D5A">
        <w:t xml:space="preserve"> sırası ile </w:t>
      </w:r>
      <w:r>
        <w:t>1</w:t>
      </w:r>
      <w:r w:rsidRPr="009C3D5A">
        <w:t>,</w:t>
      </w:r>
      <w:r>
        <w:t>37</w:t>
      </w:r>
      <w:r w:rsidRPr="009C3D5A">
        <w:t xml:space="preserve"> milyar dolar ile </w:t>
      </w:r>
      <w:r>
        <w:t>gizli ülke verisi</w:t>
      </w:r>
      <w:r w:rsidRPr="009C3D5A">
        <w:t>, 1,</w:t>
      </w:r>
      <w:r>
        <w:t>37</w:t>
      </w:r>
      <w:r w:rsidRPr="009C3D5A">
        <w:t xml:space="preserve"> milyar dolar ile </w:t>
      </w:r>
      <w:r>
        <w:t>Çin ve 1,35 milyar</w:t>
      </w:r>
      <w:r w:rsidRPr="009C3D5A">
        <w:t xml:space="preserve"> dolar ile </w:t>
      </w:r>
      <w:r>
        <w:t xml:space="preserve">Almanya </w:t>
      </w:r>
      <w:r w:rsidRPr="009C3D5A">
        <w:t xml:space="preserve">takip etmektedir. </w:t>
      </w:r>
    </w:p>
    <w:p w:rsidR="00A43B2D" w:rsidRDefault="00A43B2D" w:rsidP="00A43B2D">
      <w:pPr>
        <w:spacing w:after="0" w:line="240" w:lineRule="auto"/>
      </w:pPr>
      <w:r>
        <w:rPr>
          <w:rFonts w:eastAsia="Times New Roman" w:cs="Times New Roman"/>
          <w:b/>
          <w:bCs/>
          <w:kern w:val="36"/>
          <w:sz w:val="24"/>
          <w:szCs w:val="24"/>
        </w:rPr>
        <w:t>Şekil 4</w:t>
      </w:r>
      <w:r w:rsidRPr="009C3D5A">
        <w:rPr>
          <w:rFonts w:eastAsia="Times New Roman" w:cs="Times New Roman"/>
          <w:b/>
          <w:bCs/>
          <w:kern w:val="36"/>
          <w:sz w:val="24"/>
          <w:szCs w:val="24"/>
        </w:rPr>
        <w:t>:</w:t>
      </w:r>
      <w:r w:rsidRPr="00284EE7">
        <w:t xml:space="preserve"> </w:t>
      </w:r>
      <w:r>
        <w:rPr>
          <w:rFonts w:eastAsia="Times New Roman" w:cs="Times New Roman"/>
          <w:b/>
          <w:bCs/>
          <w:kern w:val="36"/>
          <w:sz w:val="24"/>
          <w:szCs w:val="24"/>
        </w:rPr>
        <w:t>SITC Rev3 sınıflamasına göre dış ticaret, $  (2019</w:t>
      </w:r>
      <w:r w:rsidRPr="009C3D5A">
        <w:rPr>
          <w:rFonts w:eastAsia="Times New Roman" w:cs="Times New Roman"/>
          <w:b/>
          <w:bCs/>
          <w:kern w:val="36"/>
          <w:sz w:val="24"/>
          <w:szCs w:val="24"/>
        </w:rPr>
        <w:t xml:space="preserve"> </w:t>
      </w:r>
      <w:r>
        <w:rPr>
          <w:rFonts w:eastAsia="Times New Roman" w:cs="Times New Roman"/>
          <w:b/>
          <w:bCs/>
          <w:kern w:val="36"/>
          <w:sz w:val="24"/>
          <w:szCs w:val="24"/>
        </w:rPr>
        <w:t>Şubat)</w:t>
      </w:r>
      <w:r>
        <w:t xml:space="preserve"> </w:t>
      </w:r>
    </w:p>
    <w:tbl>
      <w:tblPr>
        <w:tblW w:w="9087" w:type="dxa"/>
        <w:tblInd w:w="55" w:type="dxa"/>
        <w:tblCellMar>
          <w:left w:w="70" w:type="dxa"/>
          <w:right w:w="70" w:type="dxa"/>
        </w:tblCellMar>
        <w:tblLook w:val="04A0" w:firstRow="1" w:lastRow="0" w:firstColumn="1" w:lastColumn="0" w:noHBand="0" w:noVBand="1"/>
      </w:tblPr>
      <w:tblGrid>
        <w:gridCol w:w="647"/>
        <w:gridCol w:w="706"/>
        <w:gridCol w:w="5440"/>
        <w:gridCol w:w="2294"/>
      </w:tblGrid>
      <w:tr w:rsidR="00A43B2D" w:rsidRPr="00E57C88" w:rsidTr="00FC462C">
        <w:trPr>
          <w:trHeight w:val="1"/>
        </w:trPr>
        <w:tc>
          <w:tcPr>
            <w:tcW w:w="0" w:type="auto"/>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Sıra</w:t>
            </w:r>
          </w:p>
        </w:tc>
        <w:tc>
          <w:tcPr>
            <w:tcW w:w="0" w:type="auto"/>
            <w:tcBorders>
              <w:top w:val="single" w:sz="4" w:space="0" w:color="FFFFFF"/>
              <w:left w:val="nil"/>
              <w:bottom w:val="nil"/>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w:t>
            </w:r>
          </w:p>
        </w:tc>
        <w:tc>
          <w:tcPr>
            <w:tcW w:w="5440" w:type="dxa"/>
            <w:tcBorders>
              <w:top w:val="single" w:sz="4" w:space="0" w:color="FFFFFF"/>
              <w:left w:val="nil"/>
              <w:bottom w:val="nil"/>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 adı</w:t>
            </w:r>
          </w:p>
        </w:tc>
        <w:tc>
          <w:tcPr>
            <w:tcW w:w="2294" w:type="dxa"/>
            <w:tcBorders>
              <w:top w:val="single" w:sz="4" w:space="0" w:color="FFFFFF"/>
              <w:left w:val="nil"/>
              <w:bottom w:val="nil"/>
              <w:right w:val="single" w:sz="4" w:space="0" w:color="FFFFFF"/>
            </w:tcBorders>
            <w:shd w:val="clear" w:color="000000" w:fill="002060"/>
            <w:noWrap/>
            <w:vAlign w:val="center"/>
            <w:hideMark/>
          </w:tcPr>
          <w:p w:rsidR="00A43B2D" w:rsidRPr="00E57C88" w:rsidRDefault="00A43B2D" w:rsidP="00FC462C">
            <w:pPr>
              <w:spacing w:after="0" w:line="240" w:lineRule="auto"/>
              <w:jc w:val="center"/>
              <w:rPr>
                <w:rFonts w:ascii="Calibri" w:eastAsia="Times New Roman" w:hAnsi="Calibri" w:cs="Calibri"/>
                <w:b/>
                <w:bCs/>
                <w:color w:val="FFFFFF"/>
              </w:rPr>
            </w:pPr>
            <w:r w:rsidRPr="00E57C88">
              <w:rPr>
                <w:rFonts w:ascii="Calibri" w:eastAsia="Times New Roman" w:hAnsi="Calibri" w:cs="Calibri"/>
                <w:b/>
                <w:bCs/>
                <w:color w:val="FFFFFF"/>
              </w:rPr>
              <w:t>İhracat Dolar</w:t>
            </w:r>
          </w:p>
        </w:tc>
      </w:tr>
      <w:tr w:rsidR="00A43B2D" w:rsidRPr="00E57C88" w:rsidTr="00FC462C">
        <w:trPr>
          <w:trHeight w:val="357"/>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eastAsia="Times New Roman" w:hAnsi="Arial" w:cs="Arial"/>
                <w:color w:val="000000"/>
                <w:sz w:val="16"/>
                <w:szCs w:val="16"/>
                <w:lang w:eastAsia="en-GB"/>
              </w:rPr>
            </w:pPr>
            <w:r>
              <w:rPr>
                <w:rFonts w:ascii="Arial" w:hAnsi="Arial" w:cs="Arial"/>
                <w:color w:val="000000"/>
                <w:sz w:val="16"/>
                <w:szCs w:val="16"/>
              </w:rPr>
              <w:t>78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Motorlu kara taşıtları, bisiklet ver motosikletler, bunların aksam ve parçası</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2.074.029.429</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84</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Giyim eşyası ve bunların aksesuarları</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1.275.160.105</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67</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Demir ve çelik</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1.006.572.566</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65</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Tekstil ürünleri (iplik, kumaş, yer kaplamaları, hazır eşya)</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916.781.692</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77</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 xml:space="preserve">Elektrik makinaları, cihazları ve aletleri, vb. </w:t>
            </w:r>
            <w:proofErr w:type="spellStart"/>
            <w:proofErr w:type="gramStart"/>
            <w:r>
              <w:rPr>
                <w:rFonts w:ascii="Arial" w:hAnsi="Arial" w:cs="Arial"/>
                <w:color w:val="000000"/>
                <w:sz w:val="16"/>
                <w:szCs w:val="16"/>
              </w:rPr>
              <w:t>aksam,parçaları</w:t>
            </w:r>
            <w:proofErr w:type="spellEnd"/>
            <w:proofErr w:type="gramEnd"/>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769.721.890</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89</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Başka yerde belirtilmeyen çeşitli mamul eşyalar</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669.522.517</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5</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Meyve ve sebzeler</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558.415.698</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69</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Demir, çelik, bakır, nikel, alüminyum ve diğer adi metallerden eşya</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555.058.260</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33</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Petrol, petrolden elde edilen ürünler</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506.821.703</w:t>
            </w:r>
          </w:p>
        </w:tc>
      </w:tr>
      <w:tr w:rsidR="00A43B2D" w:rsidRPr="00E57C88" w:rsidTr="00FC462C">
        <w:trPr>
          <w:trHeight w:val="1"/>
        </w:trPr>
        <w:tc>
          <w:tcPr>
            <w:tcW w:w="0" w:type="auto"/>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74</w:t>
            </w:r>
          </w:p>
        </w:tc>
        <w:tc>
          <w:tcPr>
            <w:tcW w:w="5440"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Diğer genel endüstri makina/cihazların aksamları</w:t>
            </w:r>
          </w:p>
        </w:tc>
        <w:tc>
          <w:tcPr>
            <w:tcW w:w="2294"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435.525.250</w:t>
            </w:r>
          </w:p>
        </w:tc>
      </w:tr>
    </w:tbl>
    <w:p w:rsidR="00A43B2D" w:rsidRDefault="00A43B2D" w:rsidP="00A43B2D">
      <w:pPr>
        <w:spacing w:after="0" w:line="240" w:lineRule="auto"/>
        <w:rPr>
          <w:rFonts w:eastAsia="Times New Roman" w:cs="Times New Roman"/>
          <w:bCs/>
          <w:kern w:val="36"/>
          <w:sz w:val="18"/>
          <w:szCs w:val="24"/>
        </w:rPr>
      </w:pPr>
    </w:p>
    <w:tbl>
      <w:tblPr>
        <w:tblW w:w="9087" w:type="dxa"/>
        <w:tblInd w:w="55" w:type="dxa"/>
        <w:tblCellMar>
          <w:left w:w="70" w:type="dxa"/>
          <w:right w:w="70" w:type="dxa"/>
        </w:tblCellMar>
        <w:tblLook w:val="04A0" w:firstRow="1" w:lastRow="0" w:firstColumn="1" w:lastColumn="0" w:noHBand="0" w:noVBand="1"/>
      </w:tblPr>
      <w:tblGrid>
        <w:gridCol w:w="595"/>
        <w:gridCol w:w="638"/>
        <w:gridCol w:w="5586"/>
        <w:gridCol w:w="2268"/>
      </w:tblGrid>
      <w:tr w:rsidR="00A43B2D" w:rsidRPr="00E57C88" w:rsidTr="00FC462C">
        <w:trPr>
          <w:trHeight w:val="272"/>
        </w:trPr>
        <w:tc>
          <w:tcPr>
            <w:tcW w:w="595"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Sıra</w:t>
            </w:r>
          </w:p>
        </w:tc>
        <w:tc>
          <w:tcPr>
            <w:tcW w:w="638" w:type="dxa"/>
            <w:tcBorders>
              <w:top w:val="single" w:sz="4" w:space="0" w:color="FFFFFF"/>
              <w:left w:val="nil"/>
              <w:bottom w:val="nil"/>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w:t>
            </w:r>
          </w:p>
        </w:tc>
        <w:tc>
          <w:tcPr>
            <w:tcW w:w="5586" w:type="dxa"/>
            <w:tcBorders>
              <w:top w:val="single" w:sz="4" w:space="0" w:color="FFFFFF"/>
              <w:left w:val="nil"/>
              <w:bottom w:val="nil"/>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 adı</w:t>
            </w:r>
          </w:p>
        </w:tc>
        <w:tc>
          <w:tcPr>
            <w:tcW w:w="2268" w:type="dxa"/>
            <w:tcBorders>
              <w:top w:val="single" w:sz="4" w:space="0" w:color="FFFFFF"/>
              <w:left w:val="nil"/>
              <w:bottom w:val="nil"/>
              <w:right w:val="single" w:sz="4" w:space="0" w:color="FFFFFF"/>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İthalat Dolar</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eastAsia="Times New Roman" w:hAnsi="Arial" w:cs="Arial"/>
                <w:color w:val="000000"/>
                <w:sz w:val="16"/>
                <w:szCs w:val="16"/>
                <w:lang w:eastAsia="en-GB"/>
              </w:rPr>
            </w:pPr>
            <w:r>
              <w:rPr>
                <w:rFonts w:ascii="Arial" w:hAnsi="Arial" w:cs="Arial"/>
                <w:color w:val="000000"/>
                <w:sz w:val="16"/>
                <w:szCs w:val="16"/>
              </w:rPr>
              <w:t>39</w:t>
            </w:r>
          </w:p>
        </w:tc>
        <w:tc>
          <w:tcPr>
            <w:tcW w:w="5586" w:type="dxa"/>
            <w:tcBorders>
              <w:top w:val="single" w:sz="4" w:space="0" w:color="auto"/>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Gizli veri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eastAsia="Times New Roman" w:hAnsi="Arial" w:cs="Arial"/>
                <w:color w:val="000000"/>
                <w:sz w:val="16"/>
                <w:szCs w:val="16"/>
                <w:lang w:eastAsia="en-GB"/>
              </w:rPr>
            </w:pPr>
            <w:r>
              <w:rPr>
                <w:rFonts w:ascii="Arial" w:hAnsi="Arial" w:cs="Arial"/>
                <w:color w:val="000000"/>
                <w:sz w:val="16"/>
                <w:szCs w:val="16"/>
              </w:rPr>
              <w:t>2.353.062.253</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2</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79</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Demir, deniz, havayolu taşıtları ile bunların aksam, parçaları</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888.913.452</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3</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57</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İlk şekillerde plastikler</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713.427.708</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4</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67</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Demir ve çelik</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702.412.390</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lastRenderedPageBreak/>
              <w:t>5</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33</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Petrol, petrolden elde edilen ürünler</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677.015.869</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6</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97</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proofErr w:type="spellStart"/>
            <w:proofErr w:type="gramStart"/>
            <w:r>
              <w:rPr>
                <w:rFonts w:ascii="Arial" w:hAnsi="Arial" w:cs="Arial"/>
                <w:color w:val="000000"/>
                <w:sz w:val="16"/>
                <w:szCs w:val="16"/>
              </w:rPr>
              <w:t>Altın,parasal</w:t>
            </w:r>
            <w:proofErr w:type="spellEnd"/>
            <w:proofErr w:type="gramEnd"/>
            <w:r>
              <w:rPr>
                <w:rFonts w:ascii="Arial" w:hAnsi="Arial" w:cs="Arial"/>
                <w:color w:val="000000"/>
                <w:sz w:val="16"/>
                <w:szCs w:val="16"/>
              </w:rPr>
              <w:t xml:space="preserve"> olmayan (altın madeni ve konsantreleri hariç)</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675.042.390</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7</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77</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 xml:space="preserve">Elektrik </w:t>
            </w:r>
            <w:proofErr w:type="spellStart"/>
            <w:proofErr w:type="gramStart"/>
            <w:r>
              <w:rPr>
                <w:rFonts w:ascii="Arial" w:hAnsi="Arial" w:cs="Arial"/>
                <w:color w:val="000000"/>
                <w:sz w:val="16"/>
                <w:szCs w:val="16"/>
              </w:rPr>
              <w:t>makinaları,cihazları</w:t>
            </w:r>
            <w:proofErr w:type="spellEnd"/>
            <w:proofErr w:type="gramEnd"/>
            <w:r>
              <w:rPr>
                <w:rFonts w:ascii="Arial" w:hAnsi="Arial" w:cs="Arial"/>
                <w:color w:val="000000"/>
                <w:sz w:val="16"/>
                <w:szCs w:val="16"/>
              </w:rPr>
              <w:t xml:space="preserve"> ve aletleri, </w:t>
            </w:r>
            <w:proofErr w:type="spellStart"/>
            <w:r>
              <w:rPr>
                <w:rFonts w:ascii="Arial" w:hAnsi="Arial" w:cs="Arial"/>
                <w:color w:val="000000"/>
                <w:sz w:val="16"/>
                <w:szCs w:val="16"/>
              </w:rPr>
              <w:t>vb.aksam,parçaları</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649.036.222</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8</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78</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Motorlu kara taşıtları, bisiklet ver motosikletler, bunların aksam ve parçası</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603.925.159</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9</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74</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Diğer genel endüstri makina/cihazların aksamları</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600.000.129</w:t>
            </w:r>
          </w:p>
        </w:tc>
      </w:tr>
      <w:tr w:rsidR="00A43B2D" w:rsidRPr="00E57C88" w:rsidTr="00FC462C">
        <w:trPr>
          <w:trHeight w:val="272"/>
        </w:trPr>
        <w:tc>
          <w:tcPr>
            <w:tcW w:w="595" w:type="dxa"/>
            <w:tcBorders>
              <w:top w:val="nil"/>
              <w:left w:val="single" w:sz="4" w:space="0" w:color="FFFFFF"/>
              <w:bottom w:val="single" w:sz="4" w:space="0" w:color="FFFFFF"/>
              <w:right w:val="nil"/>
            </w:tcBorders>
            <w:shd w:val="clear" w:color="000000" w:fill="002060"/>
            <w:noWrap/>
            <w:vAlign w:val="center"/>
            <w:hideMark/>
          </w:tcPr>
          <w:p w:rsidR="00A43B2D" w:rsidRPr="00E57C88" w:rsidRDefault="00A43B2D" w:rsidP="00FC462C">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10</w:t>
            </w:r>
          </w:p>
        </w:tc>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71</w:t>
            </w:r>
          </w:p>
        </w:tc>
        <w:tc>
          <w:tcPr>
            <w:tcW w:w="5586"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rPr>
                <w:rFonts w:ascii="Arial" w:hAnsi="Arial" w:cs="Arial"/>
                <w:color w:val="000000"/>
                <w:sz w:val="16"/>
                <w:szCs w:val="16"/>
              </w:rPr>
            </w:pPr>
            <w:r>
              <w:rPr>
                <w:rFonts w:ascii="Arial" w:hAnsi="Arial" w:cs="Arial"/>
                <w:color w:val="000000"/>
                <w:sz w:val="16"/>
                <w:szCs w:val="16"/>
              </w:rPr>
              <w:t>Güç üreten makineler ve araçlar</w:t>
            </w:r>
          </w:p>
        </w:tc>
        <w:tc>
          <w:tcPr>
            <w:tcW w:w="2268" w:type="dxa"/>
            <w:tcBorders>
              <w:top w:val="nil"/>
              <w:left w:val="nil"/>
              <w:bottom w:val="single" w:sz="4" w:space="0" w:color="auto"/>
              <w:right w:val="single" w:sz="4" w:space="0" w:color="auto"/>
            </w:tcBorders>
            <w:shd w:val="clear" w:color="auto" w:fill="auto"/>
            <w:noWrap/>
            <w:vAlign w:val="bottom"/>
            <w:hideMark/>
          </w:tcPr>
          <w:p w:rsidR="00A43B2D" w:rsidRDefault="00A43B2D" w:rsidP="00FC462C">
            <w:pPr>
              <w:jc w:val="right"/>
              <w:rPr>
                <w:rFonts w:ascii="Arial" w:hAnsi="Arial" w:cs="Arial"/>
                <w:color w:val="000000"/>
                <w:sz w:val="16"/>
                <w:szCs w:val="16"/>
              </w:rPr>
            </w:pPr>
            <w:r>
              <w:rPr>
                <w:rFonts w:ascii="Arial" w:hAnsi="Arial" w:cs="Arial"/>
                <w:color w:val="000000"/>
                <w:sz w:val="16"/>
                <w:szCs w:val="16"/>
              </w:rPr>
              <w:t>553.464.906</w:t>
            </w:r>
          </w:p>
        </w:tc>
      </w:tr>
    </w:tbl>
    <w:p w:rsidR="00A43B2D" w:rsidRPr="00207D30" w:rsidRDefault="00A43B2D" w:rsidP="00A43B2D">
      <w:pPr>
        <w:spacing w:after="0" w:line="240" w:lineRule="auto"/>
        <w:rPr>
          <w:rFonts w:eastAsia="Times New Roman" w:cs="Times New Roman"/>
          <w:b/>
          <w:bCs/>
          <w:kern w:val="36"/>
          <w:sz w:val="16"/>
          <w:szCs w:val="24"/>
        </w:rPr>
      </w:pPr>
      <w:r w:rsidRPr="00207D30">
        <w:rPr>
          <w:rFonts w:eastAsia="Times New Roman" w:cs="Times New Roman"/>
          <w:b/>
          <w:bCs/>
          <w:kern w:val="36"/>
          <w:sz w:val="16"/>
          <w:szCs w:val="24"/>
        </w:rPr>
        <w:t>Kaynak: TÜİK</w:t>
      </w:r>
    </w:p>
    <w:p w:rsidR="00A43B2D" w:rsidRDefault="00A43B2D" w:rsidP="00A43B2D">
      <w:pPr>
        <w:jc w:val="both"/>
        <w:rPr>
          <w:rFonts w:cstheme="minorHAnsi"/>
          <w:color w:val="000000"/>
        </w:rPr>
      </w:pPr>
      <w:r>
        <w:br/>
      </w:r>
      <w:proofErr w:type="spellStart"/>
      <w:r w:rsidRPr="009C3D5A">
        <w:t>Se</w:t>
      </w:r>
      <w:r>
        <w:t>ktörel</w:t>
      </w:r>
      <w:proofErr w:type="spellEnd"/>
      <w:r>
        <w:t xml:space="preserve"> ihracatta, 2019</w:t>
      </w:r>
      <w:r w:rsidRPr="009C3D5A">
        <w:t xml:space="preserve"> </w:t>
      </w:r>
      <w:r>
        <w:t>Şubat ayında 2,07 milyar dolar ile m</w:t>
      </w:r>
      <w:r w:rsidRPr="009E6645">
        <w:t>oto</w:t>
      </w:r>
      <w:r>
        <w:t>rlu kara taşıtları, bisiklet ve</w:t>
      </w:r>
      <w:r w:rsidRPr="009E6645">
        <w:t xml:space="preserve"> motosikletler, bunların aksam ve parçası</w:t>
      </w:r>
      <w:r>
        <w:t xml:space="preserve"> lider konumdadır.</w:t>
      </w:r>
      <w:r w:rsidRPr="009C3D5A">
        <w:t xml:space="preserve"> Sektörü </w:t>
      </w:r>
      <w:r>
        <w:t>1,28</w:t>
      </w:r>
      <w:r w:rsidRPr="009C3D5A">
        <w:t xml:space="preserve"> milyar dolar ile </w:t>
      </w:r>
      <w:r>
        <w:t>g</w:t>
      </w:r>
      <w:r w:rsidRPr="009E6645">
        <w:t xml:space="preserve">iyim eşyası ve bunların aksesuarları </w:t>
      </w:r>
      <w:r w:rsidRPr="009C3D5A">
        <w:t>ihracatı</w:t>
      </w:r>
      <w:r>
        <w:t xml:space="preserve"> </w:t>
      </w:r>
      <w:r w:rsidRPr="009C3D5A">
        <w:t xml:space="preserve">ve </w:t>
      </w:r>
      <w:r>
        <w:t xml:space="preserve">1 milyar dolar </w:t>
      </w:r>
      <w:r w:rsidRPr="009C3D5A">
        <w:t xml:space="preserve">ile </w:t>
      </w:r>
      <w:r>
        <w:t xml:space="preserve">demir ve çelik </w:t>
      </w:r>
      <w:r w:rsidRPr="009C3D5A">
        <w:t xml:space="preserve">ihracatı takip etmektedir. İthalatta ise </w:t>
      </w:r>
      <w:r>
        <w:t xml:space="preserve">ilk sırayı 2,36 milyar dolarlık ithalat ile </w:t>
      </w:r>
      <w:r w:rsidRPr="002117E9">
        <w:t>aç</w:t>
      </w:r>
      <w:r>
        <w:t>ıklanmayan (Gizli veri) ürünler alırken, onu 888,9 milyon dolar ile d</w:t>
      </w:r>
      <w:r w:rsidRPr="009C05B7">
        <w:t>emir, deniz, havayolu taşıtları ile bunların aksam, parçaları</w:t>
      </w:r>
      <w:r>
        <w:t xml:space="preserve"> ve 713,4 milyar dolarlık ithalatı ile ilk şekillerde plastikler </w:t>
      </w:r>
      <w:r>
        <w:rPr>
          <w:rFonts w:cstheme="minorHAnsi"/>
          <w:color w:val="000000"/>
        </w:rPr>
        <w:t>takip etmektedir.</w:t>
      </w:r>
    </w:p>
    <w:p w:rsidR="00A43B2D" w:rsidRPr="00207D30" w:rsidRDefault="00A43B2D" w:rsidP="00A43B2D">
      <w:pPr>
        <w:jc w:val="both"/>
        <w:rPr>
          <w:rFonts w:eastAsia="Times New Roman" w:cs="Times New Roman"/>
          <w:b/>
          <w:bCs/>
          <w:kern w:val="36"/>
          <w:sz w:val="24"/>
          <w:szCs w:val="24"/>
        </w:rPr>
      </w:pPr>
      <w:r>
        <w:rPr>
          <w:rFonts w:eastAsia="Times New Roman" w:cs="Times New Roman"/>
          <w:b/>
          <w:bCs/>
          <w:kern w:val="36"/>
          <w:sz w:val="24"/>
          <w:szCs w:val="24"/>
        </w:rPr>
        <w:t>Şekil 5</w:t>
      </w:r>
      <w:r w:rsidRPr="009C3D5A">
        <w:rPr>
          <w:rFonts w:eastAsia="Times New Roman" w:cs="Times New Roman"/>
          <w:b/>
          <w:bCs/>
          <w:kern w:val="36"/>
          <w:sz w:val="24"/>
          <w:szCs w:val="24"/>
        </w:rPr>
        <w:t>:</w:t>
      </w:r>
      <w:r w:rsidRPr="00284EE7">
        <w:t xml:space="preserve"> </w:t>
      </w:r>
      <w:r>
        <w:rPr>
          <w:rFonts w:eastAsia="Times New Roman" w:cs="Times New Roman"/>
          <w:b/>
          <w:bCs/>
          <w:kern w:val="36"/>
          <w:sz w:val="24"/>
          <w:szCs w:val="24"/>
        </w:rPr>
        <w:t>İmalat sanayi ürünleri için teknoloji yoğunluğu, milyar $, %  (2019</w:t>
      </w:r>
      <w:r w:rsidRPr="009C3D5A">
        <w:rPr>
          <w:rFonts w:eastAsia="Times New Roman" w:cs="Times New Roman"/>
          <w:b/>
          <w:bCs/>
          <w:kern w:val="36"/>
          <w:sz w:val="24"/>
          <w:szCs w:val="24"/>
        </w:rPr>
        <w:t xml:space="preserve"> </w:t>
      </w:r>
      <w:r>
        <w:rPr>
          <w:rFonts w:eastAsia="Times New Roman" w:cs="Times New Roman"/>
          <w:b/>
          <w:bCs/>
          <w:kern w:val="36"/>
          <w:sz w:val="24"/>
          <w:szCs w:val="24"/>
        </w:rPr>
        <w:t>Şubat)</w:t>
      </w:r>
    </w:p>
    <w:tbl>
      <w:tblPr>
        <w:tblW w:w="5402" w:type="dxa"/>
        <w:tblInd w:w="93" w:type="dxa"/>
        <w:tblLook w:val="04A0" w:firstRow="1" w:lastRow="0" w:firstColumn="1" w:lastColumn="0" w:noHBand="0" w:noVBand="1"/>
      </w:tblPr>
      <w:tblGrid>
        <w:gridCol w:w="2425"/>
        <w:gridCol w:w="1559"/>
        <w:gridCol w:w="1418"/>
      </w:tblGrid>
      <w:tr w:rsidR="00A43B2D" w:rsidRPr="008378AE" w:rsidTr="00FC462C">
        <w:trPr>
          <w:trHeight w:val="259"/>
        </w:trPr>
        <w:tc>
          <w:tcPr>
            <w:tcW w:w="2425"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A43B2D" w:rsidRPr="008378AE" w:rsidRDefault="00A43B2D" w:rsidP="00FC462C">
            <w:pPr>
              <w:spacing w:after="0" w:line="240" w:lineRule="auto"/>
              <w:jc w:val="both"/>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İhracat</w:t>
            </w:r>
            <w:proofErr w:type="spellEnd"/>
          </w:p>
        </w:tc>
        <w:tc>
          <w:tcPr>
            <w:tcW w:w="1559" w:type="dxa"/>
            <w:tcBorders>
              <w:top w:val="nil"/>
              <w:left w:val="nil"/>
              <w:bottom w:val="nil"/>
              <w:right w:val="single" w:sz="4" w:space="0" w:color="FFFFFF"/>
            </w:tcBorders>
            <w:shd w:val="clear" w:color="000000" w:fill="002060"/>
            <w:noWrap/>
            <w:vAlign w:val="center"/>
            <w:hideMark/>
          </w:tcPr>
          <w:p w:rsidR="00A43B2D" w:rsidRPr="008378AE" w:rsidRDefault="00A43B2D" w:rsidP="00FC462C">
            <w:pPr>
              <w:spacing w:after="0" w:line="240" w:lineRule="auto"/>
              <w:jc w:val="center"/>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Değer</w:t>
            </w:r>
            <w:proofErr w:type="spellEnd"/>
          </w:p>
        </w:tc>
        <w:tc>
          <w:tcPr>
            <w:tcW w:w="1418" w:type="dxa"/>
            <w:tcBorders>
              <w:top w:val="nil"/>
              <w:left w:val="nil"/>
              <w:bottom w:val="nil"/>
              <w:right w:val="nil"/>
            </w:tcBorders>
            <w:shd w:val="clear" w:color="000000" w:fill="002060"/>
            <w:noWrap/>
            <w:vAlign w:val="center"/>
            <w:hideMark/>
          </w:tcPr>
          <w:p w:rsidR="00A43B2D" w:rsidRPr="008378AE" w:rsidRDefault="00A43B2D" w:rsidP="00FC462C">
            <w:pPr>
              <w:spacing w:after="0" w:line="240" w:lineRule="auto"/>
              <w:jc w:val="center"/>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Yüzde</w:t>
            </w:r>
            <w:proofErr w:type="spellEnd"/>
          </w:p>
        </w:tc>
      </w:tr>
      <w:tr w:rsidR="00A43B2D" w:rsidRPr="008378AE" w:rsidTr="00FC462C">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jc w:val="both"/>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Toplam</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imalat</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sanayi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12,81</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sidRPr="008378AE">
              <w:rPr>
                <w:rFonts w:ascii="Calibri" w:eastAsia="Times New Roman" w:hAnsi="Calibri" w:cs="Calibri"/>
                <w:color w:val="000000"/>
                <w:lang w:val="en-US" w:eastAsia="en-US"/>
              </w:rPr>
              <w:t>100</w:t>
            </w:r>
          </w:p>
        </w:tc>
      </w:tr>
      <w:tr w:rsidR="00A43B2D" w:rsidRPr="008378AE" w:rsidTr="00FC462C">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jc w:val="both"/>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Yüksek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0,44</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3,4</w:t>
            </w:r>
          </w:p>
        </w:tc>
      </w:tr>
      <w:tr w:rsidR="00A43B2D" w:rsidRPr="008378AE" w:rsidTr="00FC462C">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jc w:val="both"/>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Orta-yüksek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4,65</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36,3</w:t>
            </w:r>
          </w:p>
        </w:tc>
      </w:tr>
      <w:tr w:rsidR="00A43B2D" w:rsidRPr="008378AE" w:rsidTr="00FC462C">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jc w:val="both"/>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Orta-düşük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3,54</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27,6</w:t>
            </w:r>
          </w:p>
        </w:tc>
      </w:tr>
      <w:tr w:rsidR="00A43B2D" w:rsidRPr="008378AE" w:rsidTr="00FC462C">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jc w:val="both"/>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Düşük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4,19</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32,7</w:t>
            </w:r>
          </w:p>
        </w:tc>
      </w:tr>
    </w:tbl>
    <w:p w:rsidR="00A43B2D" w:rsidRDefault="00A43B2D" w:rsidP="00A43B2D">
      <w:pPr>
        <w:spacing w:after="0" w:line="240" w:lineRule="auto"/>
        <w:rPr>
          <w:rFonts w:eastAsia="Times New Roman" w:cs="Times New Roman"/>
          <w:bCs/>
          <w:kern w:val="36"/>
        </w:rPr>
      </w:pPr>
    </w:p>
    <w:tbl>
      <w:tblPr>
        <w:tblW w:w="5402" w:type="dxa"/>
        <w:tblInd w:w="93" w:type="dxa"/>
        <w:tblLook w:val="04A0" w:firstRow="1" w:lastRow="0" w:firstColumn="1" w:lastColumn="0" w:noHBand="0" w:noVBand="1"/>
      </w:tblPr>
      <w:tblGrid>
        <w:gridCol w:w="2425"/>
        <w:gridCol w:w="1559"/>
        <w:gridCol w:w="1418"/>
      </w:tblGrid>
      <w:tr w:rsidR="00A43B2D" w:rsidRPr="008378AE" w:rsidTr="00FC462C">
        <w:trPr>
          <w:trHeight w:val="219"/>
        </w:trPr>
        <w:tc>
          <w:tcPr>
            <w:tcW w:w="2425"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A43B2D" w:rsidRPr="008378AE" w:rsidRDefault="00A43B2D" w:rsidP="00FC462C">
            <w:pPr>
              <w:spacing w:after="0" w:line="240" w:lineRule="auto"/>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İthalat</w:t>
            </w:r>
            <w:proofErr w:type="spellEnd"/>
          </w:p>
        </w:tc>
        <w:tc>
          <w:tcPr>
            <w:tcW w:w="1559" w:type="dxa"/>
            <w:tcBorders>
              <w:top w:val="nil"/>
              <w:left w:val="nil"/>
              <w:bottom w:val="nil"/>
              <w:right w:val="single" w:sz="4" w:space="0" w:color="FFFFFF"/>
            </w:tcBorders>
            <w:shd w:val="clear" w:color="000000" w:fill="002060"/>
            <w:noWrap/>
            <w:vAlign w:val="center"/>
            <w:hideMark/>
          </w:tcPr>
          <w:p w:rsidR="00A43B2D" w:rsidRPr="008378AE" w:rsidRDefault="00A43B2D" w:rsidP="00FC462C">
            <w:pPr>
              <w:spacing w:after="0" w:line="240" w:lineRule="auto"/>
              <w:jc w:val="center"/>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Değer</w:t>
            </w:r>
            <w:proofErr w:type="spellEnd"/>
          </w:p>
        </w:tc>
        <w:tc>
          <w:tcPr>
            <w:tcW w:w="1418" w:type="dxa"/>
            <w:tcBorders>
              <w:top w:val="nil"/>
              <w:left w:val="nil"/>
              <w:bottom w:val="nil"/>
              <w:right w:val="nil"/>
            </w:tcBorders>
            <w:shd w:val="clear" w:color="000000" w:fill="002060"/>
            <w:noWrap/>
            <w:vAlign w:val="center"/>
            <w:hideMark/>
          </w:tcPr>
          <w:p w:rsidR="00A43B2D" w:rsidRPr="008378AE" w:rsidRDefault="00A43B2D" w:rsidP="00FC462C">
            <w:pPr>
              <w:spacing w:after="0" w:line="240" w:lineRule="auto"/>
              <w:jc w:val="center"/>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Yüzde</w:t>
            </w:r>
            <w:proofErr w:type="spellEnd"/>
          </w:p>
        </w:tc>
      </w:tr>
      <w:tr w:rsidR="00A43B2D" w:rsidRPr="008378AE" w:rsidTr="00FC462C">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Toplam</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imalat</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sanayi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sidRPr="008378AE">
              <w:rPr>
                <w:rFonts w:ascii="Calibri" w:eastAsia="Times New Roman" w:hAnsi="Calibri" w:cs="Calibri"/>
                <w:color w:val="000000"/>
                <w:lang w:val="en-US" w:eastAsia="en-US"/>
              </w:rPr>
              <w:t>1</w:t>
            </w:r>
            <w:r>
              <w:rPr>
                <w:rFonts w:ascii="Calibri" w:eastAsia="Times New Roman" w:hAnsi="Calibri" w:cs="Calibri"/>
                <w:color w:val="000000"/>
                <w:lang w:val="en-US" w:eastAsia="en-US"/>
              </w:rPr>
              <w:t>1,99</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sidRPr="008378AE">
              <w:rPr>
                <w:rFonts w:ascii="Calibri" w:eastAsia="Times New Roman" w:hAnsi="Calibri" w:cs="Calibri"/>
                <w:color w:val="000000"/>
                <w:lang w:val="en-US" w:eastAsia="en-US"/>
              </w:rPr>
              <w:t>100</w:t>
            </w:r>
          </w:p>
        </w:tc>
      </w:tr>
      <w:tr w:rsidR="00A43B2D" w:rsidRPr="008378AE" w:rsidTr="00FC462C">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Yüksek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1,89</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15,7</w:t>
            </w:r>
          </w:p>
        </w:tc>
      </w:tr>
      <w:tr w:rsidR="00A43B2D" w:rsidRPr="008378AE" w:rsidTr="00FC462C">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Orta-yüksek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4,77</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39,8</w:t>
            </w:r>
          </w:p>
        </w:tc>
      </w:tr>
      <w:tr w:rsidR="00A43B2D" w:rsidRPr="008378AE" w:rsidTr="00FC462C">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Orta-düşük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3,88</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32,4</w:t>
            </w:r>
          </w:p>
        </w:tc>
      </w:tr>
      <w:tr w:rsidR="00A43B2D" w:rsidRPr="008378AE" w:rsidTr="00FC462C">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A43B2D" w:rsidRPr="008378AE" w:rsidRDefault="00A43B2D" w:rsidP="00FC462C">
            <w:pPr>
              <w:spacing w:after="0" w:line="240" w:lineRule="auto"/>
              <w:rPr>
                <w:rFonts w:ascii="Calibri" w:eastAsia="Times New Roman" w:hAnsi="Calibri" w:cs="Calibri"/>
                <w:b/>
                <w:color w:val="FFFFFF"/>
                <w:lang w:val="en-US" w:eastAsia="en-US"/>
              </w:rPr>
            </w:pPr>
            <w:proofErr w:type="spellStart"/>
            <w:r w:rsidRPr="008378AE">
              <w:rPr>
                <w:rFonts w:ascii="Calibri" w:eastAsia="Times New Roman" w:hAnsi="Calibri" w:cs="Calibri"/>
                <w:b/>
                <w:color w:val="FFFFFF"/>
                <w:lang w:val="en-US" w:eastAsia="en-US"/>
              </w:rPr>
              <w:t>Düşük</w:t>
            </w:r>
            <w:proofErr w:type="spellEnd"/>
            <w:r w:rsidRPr="008378AE">
              <w:rPr>
                <w:rFonts w:ascii="Calibri" w:eastAsia="Times New Roman" w:hAnsi="Calibri" w:cs="Calibri"/>
                <w:b/>
                <w:color w:val="FFFFFF"/>
                <w:lang w:val="en-US" w:eastAsia="en-US"/>
              </w:rPr>
              <w:t xml:space="preserve"> </w:t>
            </w:r>
            <w:proofErr w:type="spellStart"/>
            <w:r w:rsidRPr="008378AE">
              <w:rPr>
                <w:rFonts w:ascii="Calibri" w:eastAsia="Times New Roman" w:hAnsi="Calibri" w:cs="Calibri"/>
                <w:b/>
                <w:color w:val="FFFFFF"/>
                <w:lang w:val="en-US" w:eastAsia="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1,45</w:t>
            </w:r>
          </w:p>
        </w:tc>
        <w:tc>
          <w:tcPr>
            <w:tcW w:w="1418" w:type="dxa"/>
            <w:tcBorders>
              <w:top w:val="nil"/>
              <w:left w:val="nil"/>
              <w:bottom w:val="single" w:sz="4" w:space="0" w:color="000000"/>
              <w:right w:val="single" w:sz="4" w:space="0" w:color="000000"/>
            </w:tcBorders>
            <w:shd w:val="clear" w:color="auto" w:fill="auto"/>
            <w:noWrap/>
            <w:vAlign w:val="center"/>
            <w:hideMark/>
          </w:tcPr>
          <w:p w:rsidR="00A43B2D" w:rsidRPr="008378AE" w:rsidRDefault="00A43B2D" w:rsidP="00FC462C">
            <w:pPr>
              <w:spacing w:after="0" w:line="240" w:lineRule="auto"/>
              <w:jc w:val="center"/>
              <w:rPr>
                <w:rFonts w:ascii="Calibri" w:eastAsia="Times New Roman" w:hAnsi="Calibri" w:cs="Calibri"/>
                <w:color w:val="000000"/>
                <w:lang w:val="en-US" w:eastAsia="en-US"/>
              </w:rPr>
            </w:pPr>
            <w:r>
              <w:rPr>
                <w:rFonts w:ascii="Calibri" w:eastAsia="Times New Roman" w:hAnsi="Calibri" w:cs="Calibri"/>
                <w:color w:val="000000"/>
                <w:lang w:val="en-US" w:eastAsia="en-US"/>
              </w:rPr>
              <w:t>12,1</w:t>
            </w:r>
          </w:p>
        </w:tc>
      </w:tr>
    </w:tbl>
    <w:p w:rsidR="00A43B2D" w:rsidRDefault="00A43B2D" w:rsidP="00A43B2D">
      <w:pPr>
        <w:spacing w:after="0" w:line="240" w:lineRule="auto"/>
        <w:rPr>
          <w:rFonts w:eastAsia="Times New Roman" w:cs="Times New Roman"/>
          <w:b/>
          <w:bCs/>
          <w:kern w:val="36"/>
          <w:sz w:val="16"/>
          <w:szCs w:val="24"/>
        </w:rPr>
      </w:pPr>
      <w:r w:rsidRPr="008D17ED">
        <w:rPr>
          <w:rFonts w:eastAsia="Times New Roman" w:cs="Times New Roman"/>
          <w:b/>
          <w:bCs/>
          <w:kern w:val="36"/>
          <w:sz w:val="16"/>
          <w:szCs w:val="24"/>
        </w:rPr>
        <w:t>Kaynak: TÜİK</w:t>
      </w:r>
    </w:p>
    <w:p w:rsidR="00A43B2D" w:rsidRPr="00D074EA" w:rsidRDefault="00A43B2D" w:rsidP="00A43B2D">
      <w:pPr>
        <w:spacing w:after="0" w:line="240" w:lineRule="auto"/>
        <w:rPr>
          <w:rFonts w:eastAsia="Times New Roman" w:cs="Times New Roman"/>
          <w:bCs/>
          <w:kern w:val="36"/>
        </w:rPr>
      </w:pPr>
    </w:p>
    <w:p w:rsidR="00A43B2D" w:rsidRPr="00DD6AA5" w:rsidRDefault="00A43B2D" w:rsidP="00A43B2D">
      <w:pPr>
        <w:jc w:val="both"/>
      </w:pPr>
      <w:r w:rsidRPr="009C3D5A">
        <w:t xml:space="preserve">Türkiye İstatistik Kurumu imalat sanayi ürünleri için teknoloji yoğunluğuna göre dış ticaret verilerini de açıklamaktadır. ISIC </w:t>
      </w:r>
      <w:r>
        <w:t>REV</w:t>
      </w:r>
      <w:r w:rsidRPr="009C3D5A">
        <w:t>.3 sınıflamasına göre</w:t>
      </w:r>
      <w:r>
        <w:t xml:space="preserve"> 2019</w:t>
      </w:r>
      <w:r w:rsidRPr="009C3D5A">
        <w:t xml:space="preserve"> </w:t>
      </w:r>
      <w:r>
        <w:t>Şubat</w:t>
      </w:r>
      <w:r w:rsidRPr="009C3D5A">
        <w:t xml:space="preserve"> ayında imalat sanayi ürünlerinin toplam </w:t>
      </w:r>
      <w:r>
        <w:t>ihracatı içerisinde</w:t>
      </w:r>
      <w:r w:rsidRPr="009C3D5A">
        <w:t xml:space="preserve"> </w:t>
      </w:r>
      <w:r>
        <w:t>yüksek</w:t>
      </w:r>
      <w:r w:rsidRPr="009C3D5A">
        <w:t xml:space="preserve"> teknoloji</w:t>
      </w:r>
      <w:r>
        <w:t>li ürünlerin payı yüzde 3,4,</w:t>
      </w:r>
      <w:r w:rsidRPr="009C3D5A">
        <w:t xml:space="preserve"> orta </w:t>
      </w:r>
      <w:r>
        <w:t>yüksek</w:t>
      </w:r>
      <w:r w:rsidRPr="009C3D5A">
        <w:t xml:space="preserve"> teknoloji</w:t>
      </w:r>
      <w:r>
        <w:t>li</w:t>
      </w:r>
      <w:r w:rsidRPr="009C3D5A">
        <w:t xml:space="preserve"> ürünlerin payı ise yüzde </w:t>
      </w:r>
      <w:r>
        <w:t>36,3’dir</w:t>
      </w:r>
      <w:r w:rsidRPr="009C3D5A">
        <w:t>. İthalatta ise imalat sa</w:t>
      </w:r>
      <w:r>
        <w:t>nayi ürünleri içerisinde yüksek</w:t>
      </w:r>
      <w:r w:rsidRPr="009C3D5A">
        <w:t xml:space="preserve"> teknoloji</w:t>
      </w:r>
      <w:r>
        <w:t>li</w:t>
      </w:r>
      <w:r w:rsidRPr="009C3D5A">
        <w:t xml:space="preserve"> </w:t>
      </w:r>
      <w:r>
        <w:t>ürünlerinin payı yüzde 15,7</w:t>
      </w:r>
      <w:r w:rsidRPr="009C3D5A">
        <w:t xml:space="preserve"> olmuştur. Orta </w:t>
      </w:r>
      <w:r>
        <w:t>yüksek</w:t>
      </w:r>
      <w:r w:rsidRPr="009C3D5A">
        <w:t xml:space="preserve"> teknoloji</w:t>
      </w:r>
      <w:r>
        <w:t>li ürünlerin payı ise yüzde 39,8’dir</w:t>
      </w:r>
      <w:r w:rsidRPr="009C3D5A">
        <w:t>.</w:t>
      </w:r>
      <w:r w:rsidRPr="00DD6AA5">
        <w:t xml:space="preserve"> </w:t>
      </w:r>
    </w:p>
    <w:p w:rsidR="00A43B2D" w:rsidRDefault="00A43B2D"/>
    <w:p w:rsidR="006C2AF3" w:rsidRDefault="006C2AF3"/>
    <w:p w:rsidR="006C2AF3" w:rsidRDefault="006C2AF3"/>
    <w:p w:rsidR="006C2AF3" w:rsidRDefault="006C2AF3"/>
    <w:tbl>
      <w:tblPr>
        <w:tblW w:w="499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699"/>
        <w:gridCol w:w="3933"/>
      </w:tblGrid>
      <w:tr w:rsidR="006C2AF3" w:rsidRPr="005727E5" w:rsidTr="00FC462C">
        <w:trPr>
          <w:trHeight w:val="915"/>
        </w:trPr>
        <w:tc>
          <w:tcPr>
            <w:tcW w:w="5501" w:type="dxa"/>
            <w:vAlign w:val="center"/>
          </w:tcPr>
          <w:p w:rsidR="006C2AF3" w:rsidRDefault="006C2AF3" w:rsidP="00FC462C">
            <w:pPr>
              <w:pStyle w:val="stbilgi"/>
              <w:jc w:val="both"/>
              <w:rPr>
                <w:rFonts w:asciiTheme="majorHAnsi" w:eastAsiaTheme="majorEastAsia" w:hAnsiTheme="majorHAnsi" w:cstheme="majorBidi"/>
                <w:sz w:val="36"/>
                <w:szCs w:val="36"/>
              </w:rPr>
            </w:pPr>
            <w:r>
              <w:rPr>
                <w:rFonts w:asciiTheme="majorHAnsi" w:eastAsiaTheme="majorEastAsia" w:hAnsiTheme="majorHAnsi" w:cstheme="majorBidi"/>
                <w:sz w:val="36"/>
                <w:szCs w:val="36"/>
              </w:rPr>
              <w:lastRenderedPageBreak/>
              <w:t>2019 MART</w:t>
            </w:r>
          </w:p>
          <w:p w:rsidR="006C2AF3" w:rsidRDefault="006C2AF3" w:rsidP="00FC462C">
            <w:pPr>
              <w:pStyle w:val="stbilgi"/>
              <w:jc w:val="both"/>
              <w:rPr>
                <w:rFonts w:asciiTheme="majorHAnsi" w:eastAsiaTheme="majorEastAsia" w:hAnsiTheme="majorHAnsi" w:cstheme="majorBidi"/>
                <w:sz w:val="36"/>
                <w:szCs w:val="36"/>
              </w:rPr>
            </w:pPr>
            <w:r>
              <w:rPr>
                <w:rFonts w:asciiTheme="majorHAnsi" w:eastAsiaTheme="majorEastAsia" w:hAnsiTheme="majorHAnsi" w:cstheme="majorBidi"/>
                <w:sz w:val="36"/>
                <w:szCs w:val="36"/>
              </w:rPr>
              <w:t>TÜKETİCİ GÜVEN ENDEKSİ</w:t>
            </w:r>
          </w:p>
        </w:tc>
        <w:tc>
          <w:tcPr>
            <w:tcW w:w="3797" w:type="dxa"/>
          </w:tcPr>
          <w:p w:rsidR="006C2AF3" w:rsidRPr="002C0307" w:rsidRDefault="006C2AF3" w:rsidP="00FC462C">
            <w:pPr>
              <w:pStyle w:val="stbilgi"/>
              <w:spacing w:line="276" w:lineRule="auto"/>
              <w:jc w:val="both"/>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Cs/>
                <w:sz w:val="26"/>
                <w:szCs w:val="26"/>
              </w:rPr>
              <w:t>21</w:t>
            </w:r>
            <w:r w:rsidRPr="002C0307">
              <w:rPr>
                <w:rFonts w:asciiTheme="majorHAnsi" w:eastAsiaTheme="majorEastAsia" w:hAnsiTheme="majorHAnsi" w:cstheme="majorBidi"/>
                <w:bCs/>
                <w:sz w:val="26"/>
                <w:szCs w:val="26"/>
              </w:rPr>
              <w:t xml:space="preserve"> </w:t>
            </w:r>
            <w:r>
              <w:rPr>
                <w:rFonts w:asciiTheme="majorHAnsi" w:eastAsiaTheme="majorEastAsia" w:hAnsiTheme="majorHAnsi" w:cstheme="majorBidi"/>
                <w:bCs/>
                <w:sz w:val="26"/>
                <w:szCs w:val="26"/>
              </w:rPr>
              <w:t>Mart</w:t>
            </w:r>
            <w:r w:rsidRPr="002C0307">
              <w:rPr>
                <w:rFonts w:asciiTheme="majorHAnsi" w:eastAsiaTheme="majorEastAsia" w:hAnsiTheme="majorHAnsi" w:cstheme="majorBidi"/>
                <w:bCs/>
                <w:sz w:val="26"/>
                <w:szCs w:val="26"/>
              </w:rPr>
              <w:t xml:space="preserve"> 2019  </w:t>
            </w:r>
            <w:r w:rsidRPr="002C0307">
              <w:rPr>
                <w:rFonts w:asciiTheme="majorHAnsi" w:eastAsiaTheme="majorEastAsia" w:hAnsiTheme="majorHAnsi" w:cstheme="majorBidi"/>
                <w:b/>
                <w:bCs/>
                <w:noProof/>
                <w:color w:val="5B9BD5" w:themeColor="accent1"/>
                <w:sz w:val="26"/>
                <w:szCs w:val="26"/>
              </w:rPr>
              <w:drawing>
                <wp:inline distT="0" distB="0" distL="0" distR="0" wp14:anchorId="4BDD8ACD" wp14:editId="0D22BE81">
                  <wp:extent cx="892754" cy="533400"/>
                  <wp:effectExtent l="0" t="0" r="0" b="0"/>
                  <wp:docPr id="9" name="Resim 9"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2C0307">
              <w:rPr>
                <w:rFonts w:asciiTheme="majorHAnsi" w:eastAsiaTheme="majorEastAsia" w:hAnsiTheme="majorHAnsi" w:cstheme="majorBidi"/>
                <w:bCs/>
                <w:sz w:val="26"/>
                <w:szCs w:val="26"/>
              </w:rPr>
              <w:t xml:space="preserve">              </w:t>
            </w:r>
          </w:p>
        </w:tc>
      </w:tr>
    </w:tbl>
    <w:p w:rsidR="006C2AF3" w:rsidRDefault="006C2AF3" w:rsidP="006C2AF3">
      <w:pPr>
        <w:jc w:val="both"/>
        <w:rPr>
          <w:rFonts w:ascii="Times New Roman" w:hAnsi="Times New Roman" w:cs="Times New Roman"/>
          <w:b/>
          <w:sz w:val="24"/>
          <w:szCs w:val="24"/>
        </w:rPr>
      </w:pPr>
    </w:p>
    <w:p w:rsidR="006C2AF3" w:rsidRPr="00586863" w:rsidRDefault="006C2AF3" w:rsidP="006C2AF3">
      <w:pPr>
        <w:jc w:val="both"/>
        <w:rPr>
          <w:rFonts w:ascii="Times New Roman" w:hAnsi="Times New Roman" w:cs="Times New Roman"/>
          <w:b/>
          <w:sz w:val="24"/>
          <w:szCs w:val="24"/>
        </w:rPr>
      </w:pPr>
      <w:r>
        <w:rPr>
          <w:rFonts w:ascii="Times New Roman" w:hAnsi="Times New Roman" w:cs="Times New Roman"/>
          <w:b/>
          <w:sz w:val="24"/>
          <w:szCs w:val="24"/>
        </w:rPr>
        <w:t>Mart</w:t>
      </w:r>
      <w:r w:rsidRPr="00586863">
        <w:rPr>
          <w:rFonts w:ascii="Times New Roman" w:hAnsi="Times New Roman" w:cs="Times New Roman"/>
          <w:b/>
          <w:sz w:val="24"/>
          <w:szCs w:val="24"/>
        </w:rPr>
        <w:t xml:space="preserve"> </w:t>
      </w:r>
      <w:r>
        <w:rPr>
          <w:rFonts w:ascii="Times New Roman" w:hAnsi="Times New Roman" w:cs="Times New Roman"/>
          <w:b/>
          <w:sz w:val="24"/>
          <w:szCs w:val="24"/>
        </w:rPr>
        <w:t>2019</w:t>
      </w:r>
      <w:r w:rsidRPr="00586863">
        <w:rPr>
          <w:rFonts w:ascii="Times New Roman" w:hAnsi="Times New Roman" w:cs="Times New Roman"/>
          <w:b/>
          <w:sz w:val="24"/>
          <w:szCs w:val="24"/>
        </w:rPr>
        <w:t xml:space="preserve"> Tüketici Güven Endeksi’ne ilişkin veriler Türkiye İstatistik Kurumu (TÜİK) tarafından </w:t>
      </w:r>
      <w:r>
        <w:rPr>
          <w:rFonts w:ascii="Times New Roman" w:hAnsi="Times New Roman" w:cs="Times New Roman"/>
          <w:b/>
          <w:sz w:val="24"/>
          <w:szCs w:val="24"/>
        </w:rPr>
        <w:t>21</w:t>
      </w:r>
      <w:r w:rsidRPr="002C0307">
        <w:rPr>
          <w:rFonts w:ascii="Times New Roman" w:hAnsi="Times New Roman" w:cs="Times New Roman"/>
          <w:b/>
          <w:sz w:val="24"/>
          <w:szCs w:val="24"/>
        </w:rPr>
        <w:t xml:space="preserve"> </w:t>
      </w:r>
      <w:r>
        <w:rPr>
          <w:rFonts w:ascii="Times New Roman" w:hAnsi="Times New Roman" w:cs="Times New Roman"/>
          <w:b/>
          <w:sz w:val="24"/>
          <w:szCs w:val="24"/>
        </w:rPr>
        <w:t>Mart</w:t>
      </w:r>
      <w:r w:rsidRPr="002C0307">
        <w:rPr>
          <w:rFonts w:ascii="Times New Roman" w:hAnsi="Times New Roman" w:cs="Times New Roman"/>
          <w:b/>
          <w:sz w:val="24"/>
          <w:szCs w:val="24"/>
        </w:rPr>
        <w:t xml:space="preserve"> 2019</w:t>
      </w:r>
      <w:r w:rsidRPr="00586863">
        <w:rPr>
          <w:rFonts w:ascii="Times New Roman" w:hAnsi="Times New Roman" w:cs="Times New Roman"/>
          <w:b/>
          <w:sz w:val="24"/>
          <w:szCs w:val="24"/>
        </w:rPr>
        <w:t xml:space="preserve"> tarihinde yayımlandı.</w:t>
      </w:r>
    </w:p>
    <w:p w:rsidR="006C2AF3" w:rsidRPr="00586863" w:rsidRDefault="006C2AF3" w:rsidP="006C2AF3">
      <w:pPr>
        <w:jc w:val="both"/>
        <w:rPr>
          <w:rFonts w:ascii="Times New Roman" w:hAnsi="Times New Roman" w:cs="Times New Roman"/>
          <w:sz w:val="24"/>
          <w:szCs w:val="24"/>
        </w:rPr>
      </w:pPr>
      <w:r w:rsidRPr="00586863">
        <w:rPr>
          <w:rFonts w:ascii="Times New Roman" w:hAnsi="Times New Roman" w:cs="Times New Roman"/>
          <w:sz w:val="24"/>
          <w:szCs w:val="24"/>
        </w:rPr>
        <w:t>TÜİK tarafından aylık yayımlanan Tüketici Güven Endeksi, tüketicilerin yakın gelecekte yapılması planlanan harcama ve tasarruflarına ilişkin eğilimler</w:t>
      </w:r>
      <w:r>
        <w:rPr>
          <w:rFonts w:ascii="Times New Roman" w:hAnsi="Times New Roman" w:cs="Times New Roman"/>
          <w:sz w:val="24"/>
          <w:szCs w:val="24"/>
        </w:rPr>
        <w:t>i</w:t>
      </w:r>
      <w:r w:rsidRPr="00586863">
        <w:rPr>
          <w:rFonts w:ascii="Times New Roman" w:hAnsi="Times New Roman" w:cs="Times New Roman"/>
          <w:sz w:val="24"/>
          <w:szCs w:val="24"/>
        </w:rPr>
        <w:t xml:space="preserve"> hakkında bilgi vermektedir.</w:t>
      </w:r>
    </w:p>
    <w:p w:rsidR="006C2AF3" w:rsidRDefault="006C2AF3" w:rsidP="006C2AF3">
      <w:pPr>
        <w:pStyle w:val="Balk2"/>
        <w:jc w:val="both"/>
      </w:pPr>
      <w:r w:rsidRPr="00586863">
        <w:t>Tüketici Gü</w:t>
      </w:r>
      <w:r>
        <w:t>ven Endeksi bir önceki aya göre artış sergilemiştir</w:t>
      </w:r>
      <w:r w:rsidRPr="00586863">
        <w:t>.</w:t>
      </w:r>
    </w:p>
    <w:p w:rsidR="006C2AF3" w:rsidRDefault="006C2AF3" w:rsidP="006C2AF3">
      <w:pPr>
        <w:jc w:val="both"/>
        <w:rPr>
          <w:rFonts w:ascii="Times New Roman" w:hAnsi="Times New Roman" w:cs="Times New Roman"/>
          <w:sz w:val="24"/>
          <w:szCs w:val="24"/>
        </w:rPr>
      </w:pPr>
      <w:r>
        <w:rPr>
          <w:rFonts w:ascii="Times New Roman" w:hAnsi="Times New Roman" w:cs="Times New Roman"/>
          <w:sz w:val="24"/>
          <w:szCs w:val="24"/>
        </w:rPr>
        <w:t xml:space="preserve">2019 Şubat ayında </w:t>
      </w:r>
      <w:proofErr w:type="gramStart"/>
      <w:r>
        <w:rPr>
          <w:rFonts w:ascii="Times New Roman" w:hAnsi="Times New Roman" w:cs="Times New Roman"/>
          <w:sz w:val="24"/>
          <w:szCs w:val="24"/>
        </w:rPr>
        <w:t>57.8</w:t>
      </w:r>
      <w:proofErr w:type="gramEnd"/>
      <w:r>
        <w:rPr>
          <w:rFonts w:ascii="Times New Roman" w:hAnsi="Times New Roman" w:cs="Times New Roman"/>
          <w:sz w:val="24"/>
          <w:szCs w:val="24"/>
        </w:rPr>
        <w:t xml:space="preserve"> olan Tüketici Güven Endeksi, 2019 Mart ayında 1.6 puan artarak 59.4 seviyesine yükselmiştir. Böylelikle, geçtiğimiz ay gösterdiği gerileme eğiliminden sonra artış göstermiştir. Bir önceki yılın aynı dönemine göre ise </w:t>
      </w:r>
      <w:proofErr w:type="gramStart"/>
      <w:r>
        <w:rPr>
          <w:rFonts w:ascii="Times New Roman" w:hAnsi="Times New Roman" w:cs="Times New Roman"/>
          <w:sz w:val="24"/>
          <w:szCs w:val="24"/>
        </w:rPr>
        <w:t>11.9</w:t>
      </w:r>
      <w:proofErr w:type="gramEnd"/>
      <w:r>
        <w:rPr>
          <w:rFonts w:ascii="Times New Roman" w:hAnsi="Times New Roman" w:cs="Times New Roman"/>
          <w:sz w:val="24"/>
          <w:szCs w:val="24"/>
        </w:rPr>
        <w:t xml:space="preserve"> puan azalış göstermiştir.</w:t>
      </w:r>
    </w:p>
    <w:p w:rsidR="006C2AF3" w:rsidRDefault="006C2AF3" w:rsidP="006C2AF3">
      <w:pPr>
        <w:pStyle w:val="ResimYazs"/>
        <w:keepNext/>
        <w:jc w:val="both"/>
      </w:pPr>
      <w:r>
        <w:t xml:space="preserve">Şekil </w:t>
      </w:r>
      <w:r w:rsidR="00B33D36">
        <w:fldChar w:fldCharType="begin"/>
      </w:r>
      <w:r w:rsidR="00B33D36">
        <w:instrText xml:space="preserve"> SEQ Şekil \* ARABIC </w:instrText>
      </w:r>
      <w:r w:rsidR="00B33D36">
        <w:fldChar w:fldCharType="separate"/>
      </w:r>
      <w:r>
        <w:rPr>
          <w:noProof/>
        </w:rPr>
        <w:t>1</w:t>
      </w:r>
      <w:r w:rsidR="00B33D36">
        <w:rPr>
          <w:noProof/>
        </w:rPr>
        <w:fldChar w:fldCharType="end"/>
      </w:r>
      <w:r>
        <w:t>: Tüketici Güven Endeksi (Ocak 2018-Mart 2019)</w:t>
      </w:r>
    </w:p>
    <w:p w:rsidR="006C2AF3" w:rsidRDefault="006C2AF3" w:rsidP="006C2AF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F32126" wp14:editId="724B70D0">
            <wp:extent cx="6047117" cy="3200400"/>
            <wp:effectExtent l="0" t="0" r="1079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2AF3" w:rsidRDefault="006C2AF3" w:rsidP="006C2AF3">
      <w:pPr>
        <w:jc w:val="both"/>
        <w:rPr>
          <w:rFonts w:ascii="Times New Roman" w:hAnsi="Times New Roman" w:cs="Times New Roman"/>
          <w:sz w:val="24"/>
          <w:szCs w:val="24"/>
        </w:rPr>
      </w:pPr>
      <w:r>
        <w:rPr>
          <w:rFonts w:ascii="Times New Roman" w:hAnsi="Times New Roman" w:cs="Times New Roman"/>
          <w:sz w:val="24"/>
          <w:szCs w:val="24"/>
        </w:rPr>
        <w:t>Tüketici Güven Endeksi alt kalemlerindeki değişime bir önceki aya göre bakıldığında, gelecek 12 ay için işsiz sayısındaki düşüş beklentisinin (</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puan) azaldığı ve genel ekonomik durum beklentisinin (3.6 puan) iyileştiği, bu beklentilerin yanı sıra hanenin maddi durum beklentisinin de 3.1 puan arttığı görülmektedir. (Tablo 1). Tasarruf etme ihtimali ise 22.02 puan iken Mart ayında 22 puan olmuştur.</w:t>
      </w:r>
    </w:p>
    <w:p w:rsidR="00FC462C" w:rsidRDefault="00FC462C" w:rsidP="006C2AF3">
      <w:pPr>
        <w:jc w:val="both"/>
        <w:rPr>
          <w:rFonts w:ascii="Times New Roman" w:hAnsi="Times New Roman" w:cs="Times New Roman"/>
          <w:sz w:val="24"/>
          <w:szCs w:val="24"/>
        </w:rPr>
      </w:pPr>
    </w:p>
    <w:p w:rsidR="006C2AF3" w:rsidRDefault="006C2AF3" w:rsidP="006C2AF3">
      <w:pPr>
        <w:pStyle w:val="ResimYazs"/>
        <w:keepNext/>
        <w:jc w:val="both"/>
      </w:pPr>
      <w:r>
        <w:lastRenderedPageBreak/>
        <w:t xml:space="preserve">Tablo </w:t>
      </w:r>
      <w:r w:rsidR="00B33D36">
        <w:fldChar w:fldCharType="begin"/>
      </w:r>
      <w:r w:rsidR="00B33D36">
        <w:instrText xml:space="preserve"> SEQ Tablo \* ARABIC </w:instrText>
      </w:r>
      <w:r w:rsidR="00B33D36">
        <w:fldChar w:fldCharType="separate"/>
      </w:r>
      <w:r>
        <w:rPr>
          <w:noProof/>
        </w:rPr>
        <w:t>1</w:t>
      </w:r>
      <w:r w:rsidR="00B33D36">
        <w:rPr>
          <w:noProof/>
        </w:rPr>
        <w:fldChar w:fldCharType="end"/>
      </w:r>
      <w:r>
        <w:t>:Tüketici Güven Endeksi Alt Kalemleri</w:t>
      </w:r>
    </w:p>
    <w:tbl>
      <w:tblPr>
        <w:tblStyle w:val="AkGlgeleme-Vurgu11"/>
        <w:tblW w:w="8718" w:type="dxa"/>
        <w:tblLook w:val="04A0" w:firstRow="1" w:lastRow="0" w:firstColumn="1" w:lastColumn="0" w:noHBand="0" w:noVBand="1"/>
      </w:tblPr>
      <w:tblGrid>
        <w:gridCol w:w="3511"/>
        <w:gridCol w:w="1279"/>
        <w:gridCol w:w="1328"/>
        <w:gridCol w:w="1300"/>
        <w:gridCol w:w="1300"/>
      </w:tblGrid>
      <w:tr w:rsidR="006C2AF3" w:rsidRPr="00DC3CEB" w:rsidTr="00FC462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511" w:type="dxa"/>
            <w:noWrap/>
            <w:hideMark/>
          </w:tcPr>
          <w:p w:rsidR="006C2AF3" w:rsidRPr="00DC3CEB" w:rsidRDefault="006C2AF3" w:rsidP="00FC462C">
            <w:pPr>
              <w:jc w:val="both"/>
              <w:rPr>
                <w:rFonts w:ascii="Calibri" w:eastAsia="Times New Roman" w:hAnsi="Calibri" w:cs="Times New Roman"/>
                <w:color w:val="000000"/>
              </w:rPr>
            </w:pPr>
          </w:p>
        </w:tc>
        <w:tc>
          <w:tcPr>
            <w:tcW w:w="2607" w:type="dxa"/>
            <w:gridSpan w:val="2"/>
            <w:noWrap/>
            <w:hideMark/>
          </w:tcPr>
          <w:p w:rsidR="006C2AF3" w:rsidRPr="00DC3CEB" w:rsidRDefault="006C2AF3" w:rsidP="00FC46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C3CEB">
              <w:rPr>
                <w:rFonts w:ascii="Calibri" w:eastAsia="Times New Roman" w:hAnsi="Calibri" w:cs="Times New Roman"/>
                <w:color w:val="000000"/>
              </w:rPr>
              <w:t>Endeks</w:t>
            </w:r>
          </w:p>
        </w:tc>
        <w:tc>
          <w:tcPr>
            <w:tcW w:w="2600" w:type="dxa"/>
            <w:gridSpan w:val="2"/>
          </w:tcPr>
          <w:p w:rsidR="006C2AF3" w:rsidRDefault="006C2AF3" w:rsidP="00FC46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Bir Önceki Aya Göre Değişim Oranı, %</w:t>
            </w:r>
          </w:p>
        </w:tc>
      </w:tr>
      <w:tr w:rsidR="006C2AF3" w:rsidRPr="00415908" w:rsidTr="00FC46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511" w:type="dxa"/>
            <w:noWrap/>
            <w:hideMark/>
          </w:tcPr>
          <w:p w:rsidR="006C2AF3" w:rsidRPr="00415908" w:rsidRDefault="006C2AF3" w:rsidP="00FC462C">
            <w:pPr>
              <w:jc w:val="both"/>
              <w:rPr>
                <w:rFonts w:ascii="Calibri" w:eastAsia="Times New Roman" w:hAnsi="Calibri" w:cs="Times New Roman"/>
                <w:color w:val="000000"/>
              </w:rPr>
            </w:pPr>
          </w:p>
        </w:tc>
        <w:tc>
          <w:tcPr>
            <w:tcW w:w="1279" w:type="dxa"/>
            <w:noWrap/>
            <w:hideMark/>
          </w:tcPr>
          <w:p w:rsidR="006C2AF3" w:rsidRPr="00415908" w:rsidRDefault="006C2AF3" w:rsidP="00FC46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b/>
                <w:color w:val="000000"/>
              </w:rPr>
              <w:t>Şubat’19</w:t>
            </w:r>
          </w:p>
        </w:tc>
        <w:tc>
          <w:tcPr>
            <w:tcW w:w="1328" w:type="dxa"/>
            <w:noWrap/>
            <w:hideMark/>
          </w:tcPr>
          <w:p w:rsidR="006C2AF3" w:rsidRPr="00415908" w:rsidRDefault="006C2AF3" w:rsidP="00FC46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b/>
                <w:color w:val="000000"/>
              </w:rPr>
              <w:t>Mart’19</w:t>
            </w:r>
          </w:p>
        </w:tc>
        <w:tc>
          <w:tcPr>
            <w:tcW w:w="1300" w:type="dxa"/>
          </w:tcPr>
          <w:p w:rsidR="006C2AF3" w:rsidRPr="00415908" w:rsidRDefault="006C2AF3" w:rsidP="00FC46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b/>
                <w:color w:val="000000"/>
              </w:rPr>
              <w:t>Şubat’19</w:t>
            </w:r>
          </w:p>
        </w:tc>
        <w:tc>
          <w:tcPr>
            <w:tcW w:w="1300" w:type="dxa"/>
          </w:tcPr>
          <w:p w:rsidR="006C2AF3" w:rsidRPr="00415908" w:rsidRDefault="006C2AF3" w:rsidP="00FC46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b/>
                <w:color w:val="000000"/>
              </w:rPr>
              <w:t>Mart’19</w:t>
            </w:r>
          </w:p>
        </w:tc>
      </w:tr>
      <w:tr w:rsidR="006C2AF3" w:rsidRPr="00146AE4" w:rsidTr="00FC462C">
        <w:trPr>
          <w:trHeight w:val="494"/>
        </w:trPr>
        <w:tc>
          <w:tcPr>
            <w:cnfStyle w:val="001000000000" w:firstRow="0" w:lastRow="0" w:firstColumn="1" w:lastColumn="0" w:oddVBand="0" w:evenVBand="0" w:oddHBand="0" w:evenHBand="0" w:firstRowFirstColumn="0" w:firstRowLastColumn="0" w:lastRowFirstColumn="0" w:lastRowLastColumn="0"/>
            <w:tcW w:w="3511" w:type="dxa"/>
            <w:hideMark/>
          </w:tcPr>
          <w:p w:rsidR="006C2AF3" w:rsidRPr="00146AE4" w:rsidRDefault="006C2AF3" w:rsidP="00FC462C">
            <w:pPr>
              <w:jc w:val="both"/>
              <w:rPr>
                <w:rFonts w:ascii="Calibri" w:eastAsia="Times New Roman" w:hAnsi="Calibri" w:cs="Times New Roman"/>
                <w:color w:val="000000"/>
              </w:rPr>
            </w:pPr>
            <w:r w:rsidRPr="00146AE4">
              <w:rPr>
                <w:rFonts w:ascii="Calibri" w:eastAsia="Times New Roman" w:hAnsi="Calibri" w:cs="Times New Roman"/>
                <w:color w:val="000000"/>
              </w:rPr>
              <w:t>Tüketici Güven Endeksi</w:t>
            </w:r>
          </w:p>
        </w:tc>
        <w:tc>
          <w:tcPr>
            <w:tcW w:w="1279" w:type="dxa"/>
            <w:noWrap/>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57,8</w:t>
            </w:r>
          </w:p>
        </w:tc>
        <w:tc>
          <w:tcPr>
            <w:tcW w:w="1328" w:type="dxa"/>
            <w:noWrap/>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59,4</w:t>
            </w:r>
          </w:p>
        </w:tc>
        <w:tc>
          <w:tcPr>
            <w:tcW w:w="1300" w:type="dxa"/>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-0,7</w:t>
            </w:r>
          </w:p>
        </w:tc>
        <w:tc>
          <w:tcPr>
            <w:tcW w:w="1300" w:type="dxa"/>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2,9</w:t>
            </w:r>
          </w:p>
        </w:tc>
      </w:tr>
      <w:tr w:rsidR="006C2AF3" w:rsidRPr="00146AE4" w:rsidTr="00FC462C">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511" w:type="dxa"/>
            <w:hideMark/>
          </w:tcPr>
          <w:p w:rsidR="006C2AF3" w:rsidRPr="00146AE4" w:rsidRDefault="006C2AF3" w:rsidP="00FC462C">
            <w:pPr>
              <w:jc w:val="both"/>
              <w:rPr>
                <w:rFonts w:ascii="Calibri" w:eastAsia="Times New Roman" w:hAnsi="Calibri" w:cs="Times New Roman"/>
                <w:b w:val="0"/>
                <w:color w:val="000000"/>
              </w:rPr>
            </w:pPr>
            <w:r w:rsidRPr="00146AE4">
              <w:rPr>
                <w:rFonts w:ascii="Calibri" w:eastAsia="Times New Roman" w:hAnsi="Calibri" w:cs="Times New Roman"/>
                <w:b w:val="0"/>
                <w:color w:val="000000"/>
              </w:rPr>
              <w:t>Hanenin maddi durum beklentisi</w:t>
            </w:r>
          </w:p>
        </w:tc>
        <w:tc>
          <w:tcPr>
            <w:tcW w:w="1279" w:type="dxa"/>
            <w:noWrap/>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75,2</w:t>
            </w:r>
          </w:p>
        </w:tc>
        <w:tc>
          <w:tcPr>
            <w:tcW w:w="1328" w:type="dxa"/>
            <w:noWrap/>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78,3</w:t>
            </w:r>
          </w:p>
        </w:tc>
        <w:tc>
          <w:tcPr>
            <w:tcW w:w="1300" w:type="dxa"/>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-2,4</w:t>
            </w:r>
          </w:p>
        </w:tc>
        <w:tc>
          <w:tcPr>
            <w:tcW w:w="1300" w:type="dxa"/>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4,0</w:t>
            </w:r>
          </w:p>
        </w:tc>
      </w:tr>
      <w:tr w:rsidR="006C2AF3" w:rsidRPr="00146AE4" w:rsidTr="00FC462C">
        <w:trPr>
          <w:trHeight w:val="446"/>
        </w:trPr>
        <w:tc>
          <w:tcPr>
            <w:cnfStyle w:val="001000000000" w:firstRow="0" w:lastRow="0" w:firstColumn="1" w:lastColumn="0" w:oddVBand="0" w:evenVBand="0" w:oddHBand="0" w:evenHBand="0" w:firstRowFirstColumn="0" w:firstRowLastColumn="0" w:lastRowFirstColumn="0" w:lastRowLastColumn="0"/>
            <w:tcW w:w="3511" w:type="dxa"/>
          </w:tcPr>
          <w:p w:rsidR="006C2AF3" w:rsidRPr="00146AE4" w:rsidRDefault="006C2AF3" w:rsidP="00FC462C">
            <w:pPr>
              <w:jc w:val="both"/>
              <w:rPr>
                <w:rFonts w:ascii="Calibri" w:eastAsia="Times New Roman" w:hAnsi="Calibri" w:cs="Times New Roman"/>
                <w:b w:val="0"/>
                <w:color w:val="000000"/>
              </w:rPr>
            </w:pPr>
            <w:r w:rsidRPr="00146AE4">
              <w:rPr>
                <w:rFonts w:ascii="Calibri" w:eastAsia="Times New Roman" w:hAnsi="Calibri" w:cs="Times New Roman"/>
                <w:b w:val="0"/>
                <w:color w:val="000000"/>
              </w:rPr>
              <w:t>Genel ekonomik durum beklentisi</w:t>
            </w:r>
          </w:p>
        </w:tc>
        <w:tc>
          <w:tcPr>
            <w:tcW w:w="1279" w:type="dxa"/>
            <w:noWrap/>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75,0</w:t>
            </w:r>
          </w:p>
        </w:tc>
        <w:tc>
          <w:tcPr>
            <w:tcW w:w="1328" w:type="dxa"/>
            <w:noWrap/>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78,6</w:t>
            </w:r>
          </w:p>
        </w:tc>
        <w:tc>
          <w:tcPr>
            <w:tcW w:w="1300" w:type="dxa"/>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-2,0</w:t>
            </w:r>
          </w:p>
        </w:tc>
        <w:tc>
          <w:tcPr>
            <w:tcW w:w="1300" w:type="dxa"/>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4,9</w:t>
            </w:r>
          </w:p>
        </w:tc>
      </w:tr>
      <w:tr w:rsidR="006C2AF3" w:rsidRPr="00146AE4" w:rsidTr="00FC462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511" w:type="dxa"/>
            <w:noWrap/>
            <w:hideMark/>
          </w:tcPr>
          <w:p w:rsidR="006C2AF3" w:rsidRPr="00427239" w:rsidRDefault="006C2AF3" w:rsidP="00FC462C">
            <w:pPr>
              <w:jc w:val="both"/>
              <w:rPr>
                <w:rFonts w:ascii="Calibri" w:eastAsia="Times New Roman" w:hAnsi="Calibri" w:cs="Times New Roman"/>
                <w:b w:val="0"/>
                <w:color w:val="000000"/>
                <w:vertAlign w:val="superscript"/>
              </w:rPr>
            </w:pPr>
            <w:r w:rsidRPr="00146AE4">
              <w:rPr>
                <w:rFonts w:ascii="Calibri" w:eastAsia="Times New Roman" w:hAnsi="Calibri" w:cs="Times New Roman"/>
                <w:b w:val="0"/>
                <w:color w:val="000000"/>
              </w:rPr>
              <w:t>İşsiz sayısı beklentisi</w:t>
            </w:r>
            <w:r>
              <w:rPr>
                <w:rFonts w:ascii="Calibri" w:eastAsia="Times New Roman" w:hAnsi="Calibri" w:cs="Times New Roman"/>
                <w:b w:val="0"/>
                <w:color w:val="000000"/>
                <w:vertAlign w:val="superscript"/>
              </w:rPr>
              <w:t>1</w:t>
            </w:r>
          </w:p>
        </w:tc>
        <w:tc>
          <w:tcPr>
            <w:tcW w:w="1279" w:type="dxa"/>
            <w:noWrap/>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59.0</w:t>
            </w:r>
          </w:p>
        </w:tc>
        <w:tc>
          <w:tcPr>
            <w:tcW w:w="1328" w:type="dxa"/>
            <w:noWrap/>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58,9</w:t>
            </w:r>
          </w:p>
        </w:tc>
        <w:tc>
          <w:tcPr>
            <w:tcW w:w="1300" w:type="dxa"/>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-3,1</w:t>
            </w:r>
          </w:p>
        </w:tc>
        <w:tc>
          <w:tcPr>
            <w:tcW w:w="1300" w:type="dxa"/>
          </w:tcPr>
          <w:p w:rsidR="006C2AF3" w:rsidRPr="00AD310E" w:rsidRDefault="006C2AF3" w:rsidP="00FC462C">
            <w:pPr>
              <w:jc w:val="center"/>
              <w:cnfStyle w:val="000000100000" w:firstRow="0" w:lastRow="0" w:firstColumn="0" w:lastColumn="0" w:oddVBand="0" w:evenVBand="0" w:oddHBand="1" w:evenHBand="0" w:firstRowFirstColumn="0" w:firstRowLastColumn="0" w:lastRowFirstColumn="0" w:lastRowLastColumn="0"/>
            </w:pPr>
            <w:r w:rsidRPr="00AD310E">
              <w:t>-0,1</w:t>
            </w:r>
          </w:p>
        </w:tc>
      </w:tr>
      <w:tr w:rsidR="006C2AF3" w:rsidRPr="00146AE4" w:rsidTr="00FC462C">
        <w:trPr>
          <w:trHeight w:val="542"/>
        </w:trPr>
        <w:tc>
          <w:tcPr>
            <w:cnfStyle w:val="001000000000" w:firstRow="0" w:lastRow="0" w:firstColumn="1" w:lastColumn="0" w:oddVBand="0" w:evenVBand="0" w:oddHBand="0" w:evenHBand="0" w:firstRowFirstColumn="0" w:firstRowLastColumn="0" w:lastRowFirstColumn="0" w:lastRowLastColumn="0"/>
            <w:tcW w:w="3511" w:type="dxa"/>
            <w:noWrap/>
          </w:tcPr>
          <w:p w:rsidR="006C2AF3" w:rsidRPr="00146AE4" w:rsidRDefault="006C2AF3" w:rsidP="00FC462C">
            <w:pPr>
              <w:jc w:val="both"/>
              <w:rPr>
                <w:rFonts w:ascii="Calibri" w:eastAsia="Times New Roman" w:hAnsi="Calibri" w:cs="Times New Roman"/>
                <w:b w:val="0"/>
                <w:color w:val="000000"/>
              </w:rPr>
            </w:pPr>
            <w:r w:rsidRPr="00146AE4">
              <w:rPr>
                <w:rFonts w:ascii="Calibri" w:eastAsia="Times New Roman" w:hAnsi="Calibri" w:cs="Times New Roman"/>
                <w:b w:val="0"/>
                <w:color w:val="000000"/>
              </w:rPr>
              <w:t>Tasarruf etme ihtimali</w:t>
            </w:r>
          </w:p>
        </w:tc>
        <w:tc>
          <w:tcPr>
            <w:tcW w:w="1279" w:type="dxa"/>
            <w:noWrap/>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22,0</w:t>
            </w:r>
          </w:p>
        </w:tc>
        <w:tc>
          <w:tcPr>
            <w:tcW w:w="1328" w:type="dxa"/>
            <w:noWrap/>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22,0</w:t>
            </w:r>
          </w:p>
        </w:tc>
        <w:tc>
          <w:tcPr>
            <w:tcW w:w="1300" w:type="dxa"/>
          </w:tcPr>
          <w:p w:rsidR="006C2AF3" w:rsidRPr="00AD310E"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20,2</w:t>
            </w:r>
          </w:p>
        </w:tc>
        <w:tc>
          <w:tcPr>
            <w:tcW w:w="1300" w:type="dxa"/>
          </w:tcPr>
          <w:p w:rsidR="006C2AF3" w:rsidRDefault="006C2AF3" w:rsidP="00FC462C">
            <w:pPr>
              <w:jc w:val="center"/>
              <w:cnfStyle w:val="000000000000" w:firstRow="0" w:lastRow="0" w:firstColumn="0" w:lastColumn="0" w:oddVBand="0" w:evenVBand="0" w:oddHBand="0" w:evenHBand="0" w:firstRowFirstColumn="0" w:firstRowLastColumn="0" w:lastRowFirstColumn="0" w:lastRowLastColumn="0"/>
            </w:pPr>
            <w:r w:rsidRPr="00AD310E">
              <w:t>-0,1</w:t>
            </w:r>
          </w:p>
        </w:tc>
      </w:tr>
    </w:tbl>
    <w:tbl>
      <w:tblPr>
        <w:tblW w:w="8323" w:type="dxa"/>
        <w:tblCellMar>
          <w:left w:w="70" w:type="dxa"/>
          <w:right w:w="70" w:type="dxa"/>
        </w:tblCellMar>
        <w:tblLook w:val="04A0" w:firstRow="1" w:lastRow="0" w:firstColumn="1" w:lastColumn="0" w:noHBand="0" w:noVBand="1"/>
      </w:tblPr>
      <w:tblGrid>
        <w:gridCol w:w="8323"/>
      </w:tblGrid>
      <w:tr w:rsidR="006C2AF3" w:rsidRPr="00427239" w:rsidTr="00FC462C">
        <w:trPr>
          <w:trHeight w:val="114"/>
        </w:trPr>
        <w:tc>
          <w:tcPr>
            <w:tcW w:w="8323" w:type="dxa"/>
            <w:tcBorders>
              <w:top w:val="nil"/>
              <w:left w:val="nil"/>
              <w:bottom w:val="nil"/>
              <w:right w:val="nil"/>
            </w:tcBorders>
            <w:shd w:val="clear" w:color="auto" w:fill="auto"/>
            <w:noWrap/>
            <w:hideMark/>
          </w:tcPr>
          <w:p w:rsidR="006C2AF3" w:rsidRPr="00427239" w:rsidRDefault="006C2AF3" w:rsidP="00FC462C">
            <w:pPr>
              <w:spacing w:after="0" w:line="240" w:lineRule="auto"/>
              <w:rPr>
                <w:rFonts w:ascii="Arial" w:eastAsia="Times New Roman" w:hAnsi="Arial" w:cs="Arial"/>
                <w:sz w:val="18"/>
                <w:szCs w:val="18"/>
              </w:rPr>
            </w:pPr>
            <w:r w:rsidRPr="00427239">
              <w:rPr>
                <w:rFonts w:ascii="Arial" w:eastAsia="Times New Roman" w:hAnsi="Arial" w:cs="Arial"/>
                <w:sz w:val="18"/>
                <w:szCs w:val="18"/>
              </w:rPr>
              <w:t>(1) İşsiz sayısı beklentisi endeksinin artması işsiz sayısı beklentisinde azalışı, azalması ise işsiz sayısı beklentisinde artışı göstermektedir.</w:t>
            </w:r>
          </w:p>
        </w:tc>
      </w:tr>
    </w:tbl>
    <w:p w:rsidR="006C2AF3" w:rsidRDefault="006C2AF3"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Default="00B01F09" w:rsidP="006C2AF3">
      <w:pPr>
        <w:jc w:val="both"/>
        <w:rPr>
          <w:rFonts w:ascii="Times New Roman" w:hAnsi="Times New Roman" w:cs="Times New Roman"/>
          <w:sz w:val="24"/>
          <w:szCs w:val="24"/>
        </w:rPr>
      </w:pPr>
    </w:p>
    <w:p w:rsidR="00B01F09" w:rsidRPr="00146AE4" w:rsidRDefault="00B01F09" w:rsidP="006C2AF3">
      <w:pPr>
        <w:jc w:val="both"/>
        <w:rPr>
          <w:rFonts w:ascii="Times New Roman" w:hAnsi="Times New Roman" w:cs="Times New Roman"/>
          <w:sz w:val="24"/>
          <w:szCs w:val="24"/>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25"/>
        <w:gridCol w:w="4174"/>
      </w:tblGrid>
      <w:tr w:rsidR="00B30C60" w:rsidRPr="00926F30" w:rsidTr="00B30C60">
        <w:trPr>
          <w:trHeight w:val="915"/>
        </w:trPr>
        <w:tc>
          <w:tcPr>
            <w:tcW w:w="5003" w:type="dxa"/>
            <w:vAlign w:val="center"/>
          </w:tcPr>
          <w:p w:rsidR="00B30C60" w:rsidRPr="00926F30" w:rsidRDefault="00B30C60" w:rsidP="00FC462C">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lastRenderedPageBreak/>
              <w:t xml:space="preserve">2019 </w:t>
            </w:r>
            <w:r>
              <w:rPr>
                <w:rFonts w:ascii="Times New Roman" w:eastAsiaTheme="majorEastAsia" w:hAnsi="Times New Roman" w:cs="Times New Roman"/>
                <w:sz w:val="36"/>
                <w:szCs w:val="36"/>
              </w:rPr>
              <w:t>Şubat</w:t>
            </w:r>
          </w:p>
          <w:p w:rsidR="00B30C60" w:rsidRPr="00926F30" w:rsidRDefault="00B30C60" w:rsidP="00FC462C">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074" w:type="dxa"/>
          </w:tcPr>
          <w:p w:rsidR="00B30C60" w:rsidRPr="00926F30" w:rsidRDefault="00B30C60" w:rsidP="00FC462C">
            <w:pPr>
              <w:pStyle w:val="stbilgi"/>
              <w:spacing w:line="276" w:lineRule="auto"/>
              <w:jc w:val="center"/>
              <w:rPr>
                <w:rFonts w:ascii="Times New Roman" w:eastAsiaTheme="majorEastAsia" w:hAnsi="Times New Roman" w:cs="Times New Roman"/>
                <w:b/>
                <w:bCs/>
                <w:color w:val="5B9BD5" w:themeColor="accent1"/>
                <w:sz w:val="36"/>
                <w:szCs w:val="36"/>
              </w:rPr>
            </w:pPr>
            <w:r w:rsidRPr="00926F30">
              <w:rPr>
                <w:rFonts w:ascii="Times New Roman" w:eastAsiaTheme="majorEastAsia" w:hAnsi="Times New Roman" w:cs="Times New Roman"/>
                <w:bCs/>
                <w:sz w:val="28"/>
                <w:szCs w:val="36"/>
              </w:rPr>
              <w:t xml:space="preserve">             </w:t>
            </w:r>
          </w:p>
        </w:tc>
      </w:tr>
    </w:tbl>
    <w:p w:rsidR="00B30C60" w:rsidRPr="00926F30" w:rsidRDefault="00B30C60" w:rsidP="00B30C60">
      <w:pPr>
        <w:pStyle w:val="stbilgi"/>
        <w:rPr>
          <w:rFonts w:ascii="Times New Roman" w:hAnsi="Times New Roman" w:cs="Times New Roman"/>
        </w:rPr>
      </w:pPr>
    </w:p>
    <w:p w:rsidR="00B30C60" w:rsidRPr="00926F30" w:rsidRDefault="00B30C60" w:rsidP="00B30C60">
      <w:pPr>
        <w:rPr>
          <w:rFonts w:ascii="Times New Roman" w:hAnsi="Times New Roman" w:cs="Times New Roman"/>
          <w:b/>
        </w:rPr>
      </w:pPr>
      <w:r>
        <w:rPr>
          <w:rFonts w:ascii="Times New Roman" w:hAnsi="Times New Roman" w:cs="Times New Roman"/>
          <w:b/>
        </w:rPr>
        <w:t>Şubat</w:t>
      </w:r>
      <w:r w:rsidRPr="00926F30">
        <w:rPr>
          <w:rFonts w:ascii="Times New Roman" w:hAnsi="Times New Roman" w:cs="Times New Roman"/>
          <w:b/>
        </w:rPr>
        <w:t xml:space="preserve"> 2019 Tüketici Fiyat Endeksi’ne (TÜFE) ilişkin veriler Türkiye İstatistik Kurumu (TÜİK) tarafından</w:t>
      </w:r>
      <w:r>
        <w:rPr>
          <w:rFonts w:ascii="Times New Roman" w:hAnsi="Times New Roman" w:cs="Times New Roman"/>
          <w:b/>
        </w:rPr>
        <w:t xml:space="preserve"> </w:t>
      </w:r>
      <w:r w:rsidRPr="00926F30">
        <w:rPr>
          <w:rFonts w:ascii="Times New Roman" w:hAnsi="Times New Roman" w:cs="Times New Roman"/>
          <w:b/>
        </w:rPr>
        <w:t xml:space="preserve">4 </w:t>
      </w:r>
      <w:r>
        <w:rPr>
          <w:rFonts w:ascii="Times New Roman" w:hAnsi="Times New Roman" w:cs="Times New Roman"/>
          <w:b/>
        </w:rPr>
        <w:t>Mar</w:t>
      </w:r>
      <w:r w:rsidRPr="00926F30">
        <w:rPr>
          <w:rFonts w:ascii="Times New Roman" w:hAnsi="Times New Roman" w:cs="Times New Roman"/>
          <w:b/>
        </w:rPr>
        <w:t>t 2019 tarihinde yayımlandı.</w:t>
      </w:r>
    </w:p>
    <w:p w:rsidR="00B30C60" w:rsidRPr="00926F30" w:rsidRDefault="00B30C60" w:rsidP="00B30C60">
      <w:pPr>
        <w:rPr>
          <w:rFonts w:ascii="Times New Roman" w:hAnsi="Times New Roman" w:cs="Times New Roman"/>
        </w:rPr>
      </w:pPr>
      <w:r w:rsidRPr="00926F30">
        <w:rPr>
          <w:rFonts w:ascii="Times New Roman" w:hAnsi="Times New Roman" w:cs="Times New Roman"/>
        </w:rPr>
        <w:t xml:space="preserve">TÜİK tarafından aylık yayımlanan TÜFE, kentlerde yaşayan hanelerin tükettiği mal ve hizmet fiyatlarının zaman içindeki ortalama değişim hakkında bilgi vermektedir. </w:t>
      </w:r>
    </w:p>
    <w:p w:rsidR="00B30C60" w:rsidRPr="00926F30" w:rsidRDefault="00B30C60" w:rsidP="00B30C60">
      <w:pPr>
        <w:jc w:val="both"/>
        <w:rPr>
          <w:rFonts w:ascii="Times New Roman" w:hAnsi="Times New Roman" w:cs="Times New Roman"/>
        </w:rPr>
      </w:pPr>
      <w:r w:rsidRPr="00926F30">
        <w:rPr>
          <w:rFonts w:ascii="Times New Roman" w:hAnsi="Times New Roman" w:cs="Times New Roman"/>
        </w:rPr>
        <w:t xml:space="preserve">2019 yılı </w:t>
      </w:r>
      <w:r>
        <w:rPr>
          <w:rFonts w:ascii="Times New Roman" w:hAnsi="Times New Roman" w:cs="Times New Roman"/>
        </w:rPr>
        <w:t>Şubat</w:t>
      </w:r>
      <w:r w:rsidRPr="00926F30">
        <w:rPr>
          <w:rFonts w:ascii="Times New Roman" w:hAnsi="Times New Roman" w:cs="Times New Roman"/>
        </w:rPr>
        <w:t xml:space="preserve"> ayında Türkiye Geneli TÜFE endeksi (Tablo 1) bir önceki aya (</w:t>
      </w:r>
      <w:r>
        <w:rPr>
          <w:rFonts w:ascii="Times New Roman" w:hAnsi="Times New Roman" w:cs="Times New Roman"/>
        </w:rPr>
        <w:t>Oca</w:t>
      </w:r>
      <w:r w:rsidRPr="00926F30">
        <w:rPr>
          <w:rFonts w:ascii="Times New Roman" w:hAnsi="Times New Roman" w:cs="Times New Roman"/>
        </w:rPr>
        <w:t xml:space="preserve">k 2018) göre yüzde </w:t>
      </w:r>
      <w:r>
        <w:rPr>
          <w:rFonts w:ascii="Times New Roman" w:hAnsi="Times New Roman" w:cs="Times New Roman"/>
        </w:rPr>
        <w:t>0,</w:t>
      </w:r>
      <w:r w:rsidRPr="00926F30">
        <w:rPr>
          <w:rFonts w:ascii="Times New Roman" w:hAnsi="Times New Roman" w:cs="Times New Roman"/>
        </w:rPr>
        <w:t>16 artarak 398</w:t>
      </w:r>
      <w:r>
        <w:rPr>
          <w:rFonts w:ascii="Times New Roman" w:hAnsi="Times New Roman" w:cs="Times New Roman"/>
        </w:rPr>
        <w:t>,71</w:t>
      </w:r>
      <w:r w:rsidRPr="00926F30">
        <w:rPr>
          <w:rFonts w:ascii="Times New Roman" w:hAnsi="Times New Roman" w:cs="Times New Roman"/>
        </w:rPr>
        <w:t xml:space="preserve"> değerine </w:t>
      </w:r>
      <w:r>
        <w:rPr>
          <w:rFonts w:ascii="Times New Roman" w:hAnsi="Times New Roman" w:cs="Times New Roman"/>
        </w:rPr>
        <w:t>yükselmiştir</w:t>
      </w:r>
      <w:r w:rsidRPr="00926F30">
        <w:rPr>
          <w:rFonts w:ascii="Times New Roman" w:hAnsi="Times New Roman" w:cs="Times New Roman"/>
        </w:rPr>
        <w:t xml:space="preserve">. Endeks, bir önceki yılın aynı ayına göre ise yüzde </w:t>
      </w:r>
      <w:r>
        <w:rPr>
          <w:rFonts w:ascii="Times New Roman" w:hAnsi="Times New Roman" w:cs="Times New Roman"/>
        </w:rPr>
        <w:t>19,67</w:t>
      </w:r>
      <w:r w:rsidRPr="00926F30">
        <w:rPr>
          <w:rFonts w:ascii="Times New Roman" w:hAnsi="Times New Roman" w:cs="Times New Roman"/>
        </w:rPr>
        <w:t xml:space="preserve"> oranında artış göstermiştir. </w:t>
      </w:r>
      <w:r>
        <w:rPr>
          <w:rFonts w:ascii="Times New Roman" w:hAnsi="Times New Roman" w:cs="Times New Roman"/>
        </w:rPr>
        <w:t>Şubat</w:t>
      </w:r>
      <w:r w:rsidRPr="00926F30">
        <w:rPr>
          <w:rFonts w:ascii="Times New Roman" w:hAnsi="Times New Roman" w:cs="Times New Roman"/>
        </w:rPr>
        <w:t xml:space="preserve"> (2019) ayında ana harcama grupları itibariyle en yüksek artış yüzde </w:t>
      </w:r>
      <w:r>
        <w:rPr>
          <w:rFonts w:ascii="Times New Roman" w:hAnsi="Times New Roman" w:cs="Times New Roman"/>
        </w:rPr>
        <w:t>2,48</w:t>
      </w:r>
      <w:r w:rsidRPr="00926F30">
        <w:rPr>
          <w:rFonts w:ascii="Times New Roman" w:hAnsi="Times New Roman" w:cs="Times New Roman"/>
        </w:rPr>
        <w:t xml:space="preserve"> ile </w:t>
      </w:r>
      <w:r>
        <w:rPr>
          <w:rFonts w:ascii="Times New Roman" w:hAnsi="Times New Roman" w:cs="Times New Roman"/>
        </w:rPr>
        <w:t>sağlık</w:t>
      </w:r>
      <w:r w:rsidRPr="00926F30">
        <w:rPr>
          <w:rFonts w:ascii="Times New Roman" w:hAnsi="Times New Roman" w:cs="Times New Roman"/>
        </w:rPr>
        <w:t xml:space="preserve"> grubunda yaşanırken, bunu yüzde </w:t>
      </w:r>
      <w:r>
        <w:rPr>
          <w:rFonts w:ascii="Times New Roman" w:hAnsi="Times New Roman" w:cs="Times New Roman"/>
        </w:rPr>
        <w:t>1</w:t>
      </w:r>
      <w:r w:rsidRPr="00926F30">
        <w:rPr>
          <w:rFonts w:ascii="Times New Roman" w:hAnsi="Times New Roman" w:cs="Times New Roman"/>
        </w:rPr>
        <w:t>,6</w:t>
      </w:r>
      <w:r>
        <w:rPr>
          <w:rFonts w:ascii="Times New Roman" w:hAnsi="Times New Roman" w:cs="Times New Roman"/>
        </w:rPr>
        <w:t>4</w:t>
      </w:r>
      <w:r w:rsidRPr="00926F30">
        <w:rPr>
          <w:rFonts w:ascii="Times New Roman" w:hAnsi="Times New Roman" w:cs="Times New Roman"/>
        </w:rPr>
        <w:t xml:space="preserve"> ile </w:t>
      </w:r>
      <w:r>
        <w:rPr>
          <w:rFonts w:ascii="Times New Roman" w:hAnsi="Times New Roman" w:cs="Times New Roman"/>
        </w:rPr>
        <w:t xml:space="preserve">eğitim </w:t>
      </w:r>
      <w:r w:rsidRPr="00926F30">
        <w:rPr>
          <w:rFonts w:ascii="Times New Roman" w:hAnsi="Times New Roman" w:cs="Times New Roman"/>
        </w:rPr>
        <w:t xml:space="preserve">grubu takip etmektedir. Öte yandan en yüksek düşüş ise yüzde </w:t>
      </w:r>
      <w:r>
        <w:rPr>
          <w:rFonts w:ascii="Times New Roman" w:hAnsi="Times New Roman" w:cs="Times New Roman"/>
        </w:rPr>
        <w:t>4,81</w:t>
      </w:r>
      <w:r w:rsidRPr="00926F30">
        <w:rPr>
          <w:rFonts w:ascii="Times New Roman" w:hAnsi="Times New Roman" w:cs="Times New Roman"/>
        </w:rPr>
        <w:t xml:space="preserve"> ile giyim ve ayakkabı grubunda yaşanırken bunu yüzde </w:t>
      </w:r>
      <w:r>
        <w:rPr>
          <w:rFonts w:ascii="Times New Roman" w:hAnsi="Times New Roman" w:cs="Times New Roman"/>
        </w:rPr>
        <w:t>0,39</w:t>
      </w:r>
      <w:r w:rsidRPr="00926F30">
        <w:rPr>
          <w:rFonts w:ascii="Times New Roman" w:hAnsi="Times New Roman" w:cs="Times New Roman"/>
        </w:rPr>
        <w:t xml:space="preserve"> ile </w:t>
      </w:r>
      <w:r>
        <w:rPr>
          <w:rFonts w:ascii="Times New Roman" w:hAnsi="Times New Roman" w:cs="Times New Roman"/>
        </w:rPr>
        <w:t>çeşitli mal ve hizmetler</w:t>
      </w:r>
      <w:r w:rsidRPr="00926F30">
        <w:rPr>
          <w:rFonts w:ascii="Times New Roman" w:hAnsi="Times New Roman" w:cs="Times New Roman"/>
        </w:rPr>
        <w:t xml:space="preserve"> grubu takip etmektedir.</w:t>
      </w:r>
    </w:p>
    <w:p w:rsidR="00B30C60" w:rsidRPr="00926F30" w:rsidRDefault="00B30C60" w:rsidP="00B30C60">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fiyat artışına en büyük etki (</w:t>
      </w:r>
      <w:r>
        <w:rPr>
          <w:rFonts w:ascii="Times New Roman" w:hAnsi="Times New Roman" w:cs="Times New Roman"/>
        </w:rPr>
        <w:t>0,21</w:t>
      </w:r>
      <w:r w:rsidRPr="00926F30">
        <w:rPr>
          <w:rFonts w:ascii="Times New Roman" w:hAnsi="Times New Roman" w:cs="Times New Roman"/>
        </w:rPr>
        <w:t>) gıda ve alkolsüz içecekler grubundan gelmektedir. Bunu 0,1</w:t>
      </w:r>
      <w:r>
        <w:rPr>
          <w:rFonts w:ascii="Times New Roman" w:hAnsi="Times New Roman" w:cs="Times New Roman"/>
        </w:rPr>
        <w:t>2</w:t>
      </w:r>
      <w:r w:rsidRPr="00926F30">
        <w:rPr>
          <w:rFonts w:ascii="Times New Roman" w:hAnsi="Times New Roman" w:cs="Times New Roman"/>
        </w:rPr>
        <w:t xml:space="preserve"> ile </w:t>
      </w:r>
      <w:r>
        <w:rPr>
          <w:rFonts w:ascii="Times New Roman" w:hAnsi="Times New Roman" w:cs="Times New Roman"/>
        </w:rPr>
        <w:t>ulaştırma grubu</w:t>
      </w:r>
      <w:r w:rsidRPr="00926F30">
        <w:rPr>
          <w:rFonts w:ascii="Times New Roman" w:hAnsi="Times New Roman" w:cs="Times New Roman"/>
        </w:rPr>
        <w:t xml:space="preserve"> takip etmektedir. Öte yandan giyim ve ayakkabı (0,</w:t>
      </w:r>
      <w:r>
        <w:rPr>
          <w:rFonts w:ascii="Times New Roman" w:hAnsi="Times New Roman" w:cs="Times New Roman"/>
        </w:rPr>
        <w:t>35</w:t>
      </w:r>
      <w:r w:rsidRPr="00926F30">
        <w:rPr>
          <w:rFonts w:ascii="Times New Roman" w:hAnsi="Times New Roman" w:cs="Times New Roman"/>
        </w:rPr>
        <w:t>)</w:t>
      </w:r>
      <w:r>
        <w:rPr>
          <w:rFonts w:ascii="Times New Roman" w:hAnsi="Times New Roman" w:cs="Times New Roman"/>
        </w:rPr>
        <w:t>,</w:t>
      </w:r>
      <w:r w:rsidRPr="00926F30">
        <w:rPr>
          <w:rFonts w:ascii="Times New Roman" w:hAnsi="Times New Roman" w:cs="Times New Roman"/>
        </w:rPr>
        <w:t xml:space="preserve"> </w:t>
      </w:r>
      <w:r>
        <w:rPr>
          <w:rFonts w:ascii="Times New Roman" w:hAnsi="Times New Roman" w:cs="Times New Roman"/>
        </w:rPr>
        <w:t>çeşitli mal ve hizmetler</w:t>
      </w:r>
      <w:r w:rsidRPr="00926F30">
        <w:rPr>
          <w:rFonts w:ascii="Times New Roman" w:hAnsi="Times New Roman" w:cs="Times New Roman"/>
        </w:rPr>
        <w:t xml:space="preserve"> (0,</w:t>
      </w:r>
      <w:r>
        <w:rPr>
          <w:rFonts w:ascii="Times New Roman" w:hAnsi="Times New Roman" w:cs="Times New Roman"/>
        </w:rPr>
        <w:t xml:space="preserve">02), haberleşme ile eğlence ve kültür (0,01) </w:t>
      </w:r>
      <w:r w:rsidRPr="00926F30">
        <w:rPr>
          <w:rFonts w:ascii="Times New Roman" w:hAnsi="Times New Roman" w:cs="Times New Roman"/>
        </w:rPr>
        <w:t>gruplarının etkisi negatif olarak gerçekleşmektedir.</w:t>
      </w:r>
    </w:p>
    <w:p w:rsidR="00B30C60" w:rsidRPr="00926F30" w:rsidRDefault="00B30C60" w:rsidP="00B30C60">
      <w:pPr>
        <w:pStyle w:val="rresim"/>
        <w:rPr>
          <w:rFonts w:ascii="Times New Roman" w:hAnsi="Times New Roman" w:cs="Times New Roman"/>
          <w:b/>
          <w:sz w:val="18"/>
          <w:szCs w:val="18"/>
        </w:rPr>
      </w:pPr>
      <w:r w:rsidRPr="00926F30">
        <w:rPr>
          <w:rFonts w:ascii="Times New Roman" w:hAnsi="Times New Roman" w:cs="Times New Roman"/>
          <w:b/>
          <w:sz w:val="18"/>
          <w:szCs w:val="18"/>
        </w:rPr>
        <w:t>Tablo 1: Ana-Harcama Gruplarına Göre Tüketici Fiyat Endeksi ve Değişim Oranları</w:t>
      </w:r>
    </w:p>
    <w:p w:rsidR="00B30C60" w:rsidRPr="00926F30" w:rsidRDefault="00B30C60" w:rsidP="00B30C60">
      <w:pPr>
        <w:rPr>
          <w:rFonts w:ascii="Times New Roman" w:hAnsi="Times New Roman" w:cs="Times New Roman"/>
          <w:sz w:val="14"/>
          <w:szCs w:val="14"/>
        </w:rPr>
      </w:pPr>
      <w:r w:rsidRPr="003B31F8">
        <w:rPr>
          <w:noProof/>
        </w:rPr>
        <w:drawing>
          <wp:inline distT="0" distB="0" distL="0" distR="0" wp14:anchorId="74D236FB" wp14:editId="3F9442CE">
            <wp:extent cx="5133340" cy="2679700"/>
            <wp:effectExtent l="0" t="0" r="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340" cy="2679700"/>
                    </a:xfrm>
                    <a:prstGeom prst="rect">
                      <a:avLst/>
                    </a:prstGeom>
                    <a:noFill/>
                    <a:ln>
                      <a:noFill/>
                    </a:ln>
                  </pic:spPr>
                </pic:pic>
              </a:graphicData>
            </a:graphic>
          </wp:inline>
        </w:drawing>
      </w:r>
      <w:r w:rsidRPr="00926F30">
        <w:rPr>
          <w:rFonts w:ascii="Times New Roman" w:hAnsi="Times New Roman" w:cs="Times New Roman"/>
          <w:sz w:val="14"/>
          <w:szCs w:val="14"/>
        </w:rPr>
        <w:br/>
        <w:t>*Bir önceki yılın aynı ayına göre enflasyon değişimi</w:t>
      </w:r>
      <w:r w:rsidRPr="00926F30">
        <w:rPr>
          <w:rFonts w:ascii="Times New Roman" w:hAnsi="Times New Roman" w:cs="Times New Roman"/>
          <w:sz w:val="14"/>
          <w:szCs w:val="14"/>
        </w:rPr>
        <w:br/>
        <w:t>**Bir önceki aya göre enflasyon değişimi</w:t>
      </w:r>
    </w:p>
    <w:p w:rsidR="00B30C60" w:rsidRPr="00926F30" w:rsidRDefault="00B30C60" w:rsidP="00B30C60">
      <w:pPr>
        <w:rPr>
          <w:rFonts w:ascii="Times New Roman" w:hAnsi="Times New Roman" w:cs="Times New Roman"/>
          <w:b/>
          <w:sz w:val="18"/>
          <w:szCs w:val="14"/>
        </w:rPr>
      </w:pPr>
    </w:p>
    <w:p w:rsidR="00B30C60" w:rsidRPr="00926F30" w:rsidRDefault="00B30C60" w:rsidP="00B30C60">
      <w:pPr>
        <w:rPr>
          <w:rFonts w:ascii="Times New Roman" w:hAnsi="Times New Roman" w:cs="Times New Roman"/>
          <w:sz w:val="16"/>
          <w:szCs w:val="14"/>
        </w:rPr>
      </w:pPr>
      <w:r w:rsidRPr="00926F30">
        <w:rPr>
          <w:rFonts w:ascii="Times New Roman" w:hAnsi="Times New Roman" w:cs="Times New Roman"/>
          <w:b/>
          <w:sz w:val="18"/>
          <w:szCs w:val="14"/>
        </w:rPr>
        <w:t>Tablo 2:</w:t>
      </w:r>
      <w:r w:rsidRPr="00926F30">
        <w:rPr>
          <w:rFonts w:ascii="Times New Roman" w:hAnsi="Times New Roman" w:cs="Times New Roman"/>
          <w:b/>
          <w:sz w:val="28"/>
        </w:rPr>
        <w:t xml:space="preserve"> </w:t>
      </w:r>
      <w:r w:rsidRPr="00926F30">
        <w:rPr>
          <w:rFonts w:ascii="Times New Roman" w:hAnsi="Times New Roman" w:cs="Times New Roman"/>
          <w:b/>
          <w:sz w:val="18"/>
          <w:szCs w:val="14"/>
        </w:rPr>
        <w:t xml:space="preserve">Ana-Harcama Gruplarının Genel Endeksteki Aylık Değişime Olan Etkisi (%), </w:t>
      </w:r>
      <w:r>
        <w:rPr>
          <w:rFonts w:ascii="Times New Roman" w:hAnsi="Times New Roman" w:cs="Times New Roman"/>
          <w:b/>
          <w:sz w:val="18"/>
          <w:szCs w:val="14"/>
        </w:rPr>
        <w:t>Şubat</w:t>
      </w:r>
      <w:r w:rsidRPr="00926F30">
        <w:rPr>
          <w:rFonts w:ascii="Times New Roman" w:hAnsi="Times New Roman" w:cs="Times New Roman"/>
          <w:b/>
          <w:sz w:val="18"/>
          <w:szCs w:val="14"/>
        </w:rPr>
        <w:t xml:space="preserve"> 2019</w:t>
      </w:r>
      <w:r w:rsidRPr="00926F30">
        <w:rPr>
          <w:rFonts w:ascii="Times New Roman" w:hAnsi="Times New Roman" w:cs="Times New Roman"/>
          <w:sz w:val="16"/>
          <w:szCs w:val="14"/>
        </w:rPr>
        <w:tab/>
      </w:r>
    </w:p>
    <w:p w:rsidR="00B30C60" w:rsidRPr="00926F30" w:rsidRDefault="00B30C60" w:rsidP="00B30C60">
      <w:pPr>
        <w:rPr>
          <w:rFonts w:ascii="Times New Roman" w:hAnsi="Times New Roman" w:cs="Times New Roman"/>
          <w:b/>
          <w:sz w:val="18"/>
          <w:szCs w:val="14"/>
        </w:rPr>
      </w:pPr>
      <w:r w:rsidRPr="003B31F8">
        <w:rPr>
          <w:noProof/>
        </w:rPr>
        <w:lastRenderedPageBreak/>
        <w:drawing>
          <wp:inline distT="0" distB="0" distL="0" distR="0" wp14:anchorId="35D3A9FC" wp14:editId="142CF786">
            <wp:extent cx="5972810" cy="2843179"/>
            <wp:effectExtent l="0" t="0" r="889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2843179"/>
                    </a:xfrm>
                    <a:prstGeom prst="rect">
                      <a:avLst/>
                    </a:prstGeom>
                    <a:noFill/>
                    <a:ln>
                      <a:noFill/>
                    </a:ln>
                  </pic:spPr>
                </pic:pic>
              </a:graphicData>
            </a:graphic>
          </wp:inline>
        </w:drawing>
      </w:r>
    </w:p>
    <w:p w:rsidR="00B30C60" w:rsidRPr="00926F30" w:rsidRDefault="00B30C60" w:rsidP="00B30C60">
      <w:pPr>
        <w:jc w:val="both"/>
        <w:rPr>
          <w:rFonts w:ascii="Times New Roman" w:hAnsi="Times New Roman" w:cs="Times New Roman"/>
          <w:b/>
          <w:sz w:val="14"/>
          <w:szCs w:val="14"/>
        </w:rPr>
      </w:pPr>
    </w:p>
    <w:p w:rsidR="00B30C60" w:rsidRPr="00926F30" w:rsidRDefault="00B30C60" w:rsidP="00B30C60">
      <w:pPr>
        <w:jc w:val="both"/>
        <w:rPr>
          <w:rFonts w:ascii="Times New Roman" w:hAnsi="Times New Roman" w:cs="Times New Roman"/>
        </w:rPr>
      </w:pPr>
      <w:r w:rsidRPr="00926F30">
        <w:rPr>
          <w:rFonts w:ascii="Times New Roman" w:hAnsi="Times New Roman" w:cs="Times New Roman"/>
        </w:rPr>
        <w:t>TÜİK tarafından hesaplanan özel kapsamlı TÜFE göstergelerinden işlenmemiş gıda ürünleri, enerji, alkollü içkiler ve tütün ile altın hariç TÜFE endeksi bir önceki aya göre yüzde 0,</w:t>
      </w:r>
      <w:r>
        <w:rPr>
          <w:rFonts w:ascii="Times New Roman" w:hAnsi="Times New Roman" w:cs="Times New Roman"/>
        </w:rPr>
        <w:t>15</w:t>
      </w:r>
      <w:r w:rsidRPr="00926F30">
        <w:rPr>
          <w:rFonts w:ascii="Times New Roman" w:hAnsi="Times New Roman" w:cs="Times New Roman"/>
        </w:rPr>
        <w:t xml:space="preserve"> oranında </w:t>
      </w:r>
      <w:r>
        <w:rPr>
          <w:rFonts w:ascii="Times New Roman" w:hAnsi="Times New Roman" w:cs="Times New Roman"/>
        </w:rPr>
        <w:t>düşerek</w:t>
      </w:r>
      <w:r w:rsidRPr="00926F30">
        <w:rPr>
          <w:rFonts w:ascii="Times New Roman" w:hAnsi="Times New Roman" w:cs="Times New Roman"/>
        </w:rPr>
        <w:t xml:space="preserve"> 35</w:t>
      </w:r>
      <w:r>
        <w:rPr>
          <w:rFonts w:ascii="Times New Roman" w:hAnsi="Times New Roman" w:cs="Times New Roman"/>
        </w:rPr>
        <w:t>2</w:t>
      </w:r>
      <w:r w:rsidRPr="00926F30">
        <w:rPr>
          <w:rFonts w:ascii="Times New Roman" w:hAnsi="Times New Roman" w:cs="Times New Roman"/>
        </w:rPr>
        <w:t>,</w:t>
      </w:r>
      <w:r>
        <w:rPr>
          <w:rFonts w:ascii="Times New Roman" w:hAnsi="Times New Roman" w:cs="Times New Roman"/>
        </w:rPr>
        <w:t>57</w:t>
      </w:r>
      <w:r w:rsidRPr="00926F30">
        <w:rPr>
          <w:rFonts w:ascii="Times New Roman" w:hAnsi="Times New Roman" w:cs="Times New Roman"/>
        </w:rPr>
        <w:t xml:space="preserve"> değerini almıştır. Endeks son 12 ayda ortalama olarak yüzde 1</w:t>
      </w:r>
      <w:r>
        <w:rPr>
          <w:rFonts w:ascii="Times New Roman" w:hAnsi="Times New Roman" w:cs="Times New Roman"/>
        </w:rPr>
        <w:t>7,70</w:t>
      </w:r>
      <w:r w:rsidRPr="00926F30">
        <w:rPr>
          <w:rFonts w:ascii="Times New Roman" w:hAnsi="Times New Roman" w:cs="Times New Roman"/>
        </w:rPr>
        <w:t xml:space="preserve"> oranında artmıştır. İşlenmemiş gıda ürünleri, enerji, alkollü içkiler ve tütün ile altın hariç (özel kapsamlı) endeksin bir önceki yılın aynı ayına göre artış oranı ise yüzde </w:t>
      </w:r>
      <w:r>
        <w:rPr>
          <w:rFonts w:ascii="Times New Roman" w:hAnsi="Times New Roman" w:cs="Times New Roman"/>
        </w:rPr>
        <w:t>18,48</w:t>
      </w:r>
      <w:r w:rsidRPr="00926F30">
        <w:rPr>
          <w:rFonts w:ascii="Times New Roman" w:hAnsi="Times New Roman" w:cs="Times New Roman"/>
        </w:rPr>
        <w:t xml:space="preserve"> olarak gerçekleşmiştir.</w:t>
      </w:r>
    </w:p>
    <w:p w:rsidR="00B30C60" w:rsidRPr="00926F30" w:rsidRDefault="00B30C60" w:rsidP="00B30C60">
      <w:pPr>
        <w:rPr>
          <w:rFonts w:ascii="Times New Roman" w:hAnsi="Times New Roman" w:cs="Times New Roman"/>
          <w:b/>
          <w:sz w:val="16"/>
          <w:szCs w:val="14"/>
        </w:rPr>
      </w:pPr>
      <w:r w:rsidRPr="00926F30">
        <w:rPr>
          <w:rFonts w:ascii="Times New Roman" w:hAnsi="Times New Roman" w:cs="Times New Roman"/>
          <w:b/>
          <w:sz w:val="18"/>
          <w:szCs w:val="14"/>
        </w:rPr>
        <w:t>Şekil 1: 2008-2018 zaman aralığında enflasyon değişim</w:t>
      </w:r>
      <w:r w:rsidRPr="00926F30">
        <w:rPr>
          <w:rFonts w:ascii="Times New Roman" w:hAnsi="Times New Roman" w:cs="Times New Roman"/>
          <w:sz w:val="16"/>
          <w:szCs w:val="14"/>
        </w:rPr>
        <w:tab/>
      </w:r>
      <w:r w:rsidRPr="00926F30">
        <w:rPr>
          <w:rFonts w:ascii="Times New Roman" w:hAnsi="Times New Roman" w:cs="Times New Roman"/>
          <w:sz w:val="14"/>
          <w:szCs w:val="14"/>
        </w:rPr>
        <w:tab/>
      </w:r>
      <w:r w:rsidRPr="00926F30">
        <w:rPr>
          <w:rFonts w:ascii="Times New Roman" w:hAnsi="Times New Roman" w:cs="Times New Roman"/>
          <w:b/>
          <w:sz w:val="16"/>
          <w:szCs w:val="14"/>
        </w:rPr>
        <w:tab/>
      </w:r>
    </w:p>
    <w:p w:rsidR="00B30C60" w:rsidRPr="00926F30" w:rsidRDefault="00B30C60" w:rsidP="00B30C60">
      <w:pPr>
        <w:rPr>
          <w:rFonts w:ascii="Times New Roman" w:hAnsi="Times New Roman" w:cs="Times New Roman"/>
          <w:b/>
          <w:sz w:val="16"/>
          <w:szCs w:val="14"/>
        </w:rPr>
      </w:pPr>
      <w:r w:rsidRPr="00926F30">
        <w:rPr>
          <w:noProof/>
        </w:rPr>
        <w:drawing>
          <wp:inline distT="0" distB="0" distL="0" distR="0" wp14:anchorId="1C209464" wp14:editId="28E98976">
            <wp:extent cx="5524500" cy="2832100"/>
            <wp:effectExtent l="0" t="0" r="0" b="635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2832100"/>
                    </a:xfrm>
                    <a:prstGeom prst="rect">
                      <a:avLst/>
                    </a:prstGeom>
                    <a:noFill/>
                    <a:ln>
                      <a:noFill/>
                    </a:ln>
                  </pic:spPr>
                </pic:pic>
              </a:graphicData>
            </a:graphic>
          </wp:inline>
        </w:drawing>
      </w:r>
    </w:p>
    <w:p w:rsidR="00B30C60" w:rsidRDefault="00B30C60" w:rsidP="00B30C60">
      <w:pPr>
        <w:rPr>
          <w:rFonts w:ascii="Times New Roman" w:hAnsi="Times New Roman" w:cs="Times New Roman"/>
          <w:b/>
          <w:sz w:val="18"/>
          <w:szCs w:val="14"/>
        </w:rPr>
      </w:pPr>
    </w:p>
    <w:p w:rsidR="00B30C60" w:rsidRPr="00926F30" w:rsidRDefault="00B30C60" w:rsidP="00B30C60">
      <w:pPr>
        <w:rPr>
          <w:rFonts w:ascii="Times New Roman" w:hAnsi="Times New Roman" w:cs="Times New Roman"/>
          <w:b/>
          <w:sz w:val="18"/>
          <w:szCs w:val="14"/>
        </w:rPr>
      </w:pPr>
    </w:p>
    <w:p w:rsidR="00B30C60" w:rsidRPr="00926F30" w:rsidRDefault="00B30C60" w:rsidP="00B30C60">
      <w:pPr>
        <w:rPr>
          <w:rFonts w:ascii="Times New Roman" w:hAnsi="Times New Roman" w:cs="Times New Roman"/>
          <w:sz w:val="14"/>
          <w:szCs w:val="14"/>
        </w:rPr>
      </w:pPr>
      <w:r w:rsidRPr="00926F30">
        <w:rPr>
          <w:rFonts w:ascii="Times New Roman" w:hAnsi="Times New Roman" w:cs="Times New Roman"/>
          <w:b/>
          <w:sz w:val="18"/>
          <w:szCs w:val="14"/>
        </w:rPr>
        <w:t>Şekil 2: Bir önceki aya göre (aylık) 12 aylık enflasyon verileri</w:t>
      </w:r>
    </w:p>
    <w:p w:rsidR="00B30C60" w:rsidRPr="00926F30" w:rsidRDefault="00B30C60" w:rsidP="00B30C60">
      <w:pPr>
        <w:jc w:val="center"/>
        <w:rPr>
          <w:rFonts w:ascii="Times New Roman" w:hAnsi="Times New Roman" w:cs="Times New Roman"/>
          <w:sz w:val="14"/>
          <w:szCs w:val="14"/>
        </w:rPr>
      </w:pPr>
      <w:r w:rsidRPr="00BA60C2">
        <w:rPr>
          <w:noProof/>
        </w:rPr>
        <w:lastRenderedPageBreak/>
        <w:drawing>
          <wp:inline distT="0" distB="0" distL="0" distR="0" wp14:anchorId="224B3222" wp14:editId="39CF1A05">
            <wp:extent cx="5972810" cy="2677505"/>
            <wp:effectExtent l="0" t="0" r="0" b="889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810" cy="2677505"/>
                    </a:xfrm>
                    <a:prstGeom prst="rect">
                      <a:avLst/>
                    </a:prstGeom>
                    <a:noFill/>
                    <a:ln>
                      <a:noFill/>
                    </a:ln>
                  </pic:spPr>
                </pic:pic>
              </a:graphicData>
            </a:graphic>
          </wp:inline>
        </w:drawing>
      </w:r>
    </w:p>
    <w:p w:rsidR="00B30C60" w:rsidRPr="00926F30" w:rsidRDefault="00B30C60" w:rsidP="00B30C60">
      <w:pPr>
        <w:jc w:val="center"/>
        <w:rPr>
          <w:rFonts w:ascii="Times New Roman" w:hAnsi="Times New Roman" w:cs="Times New Roman"/>
          <w:sz w:val="14"/>
          <w:szCs w:val="14"/>
        </w:rPr>
      </w:pPr>
    </w:p>
    <w:p w:rsidR="00B30C60" w:rsidRPr="00926F30" w:rsidRDefault="00B30C60" w:rsidP="00B30C60">
      <w:pPr>
        <w:jc w:val="center"/>
        <w:rPr>
          <w:rFonts w:ascii="Times New Roman" w:hAnsi="Times New Roman" w:cs="Times New Roman"/>
          <w:sz w:val="14"/>
          <w:szCs w:val="14"/>
        </w:rPr>
        <w:sectPr w:rsidR="00B30C60" w:rsidRPr="00926F30" w:rsidSect="00B30C60">
          <w:pgSz w:w="12240" w:h="15840"/>
          <w:pgMar w:top="1417" w:right="1417" w:bottom="709" w:left="1417" w:header="708" w:footer="708" w:gutter="0"/>
          <w:cols w:space="708"/>
          <w:docGrid w:linePitch="360"/>
        </w:sectPr>
      </w:pPr>
    </w:p>
    <w:p w:rsidR="00B30C60" w:rsidRPr="00926F30" w:rsidRDefault="00B30C60" w:rsidP="00B30C60">
      <w:pPr>
        <w:jc w:val="center"/>
        <w:rPr>
          <w:rFonts w:ascii="Times New Roman" w:hAnsi="Times New Roman" w:cs="Times New Roman"/>
          <w:sz w:val="16"/>
          <w:szCs w:val="14"/>
        </w:rPr>
      </w:pPr>
    </w:p>
    <w:p w:rsidR="00B30C60" w:rsidRPr="00926F30" w:rsidRDefault="00B30C60" w:rsidP="00B30C60">
      <w:pPr>
        <w:spacing w:after="0"/>
        <w:rPr>
          <w:rFonts w:ascii="Times New Roman" w:hAnsi="Times New Roman" w:cs="Times New Roman"/>
          <w:b/>
          <w:sz w:val="18"/>
          <w:szCs w:val="14"/>
        </w:rPr>
      </w:pPr>
      <w:r w:rsidRPr="00926F30">
        <w:rPr>
          <w:rFonts w:ascii="Times New Roman" w:hAnsi="Times New Roman" w:cs="Times New Roman"/>
          <w:b/>
          <w:sz w:val="18"/>
          <w:szCs w:val="14"/>
        </w:rPr>
        <w:t>Tablo 3:</w:t>
      </w:r>
      <w:r w:rsidRPr="00926F30">
        <w:rPr>
          <w:rFonts w:ascii="Times New Roman" w:hAnsi="Times New Roman" w:cs="Times New Roman"/>
          <w:b/>
          <w:sz w:val="28"/>
        </w:rPr>
        <w:t xml:space="preserve"> </w:t>
      </w:r>
      <w:r w:rsidRPr="00926F30">
        <w:rPr>
          <w:rFonts w:ascii="Times New Roman" w:hAnsi="Times New Roman" w:cs="Times New Roman"/>
          <w:b/>
          <w:sz w:val="18"/>
          <w:szCs w:val="14"/>
        </w:rPr>
        <w:t xml:space="preserve">Ana-Harcama Gruplarına Göre Tüketici Fiyat Endeksi ve Değişim Oranları (%), Bölgelere Göre, </w:t>
      </w:r>
      <w:r>
        <w:rPr>
          <w:rFonts w:ascii="Times New Roman" w:hAnsi="Times New Roman" w:cs="Times New Roman"/>
          <w:b/>
          <w:sz w:val="18"/>
          <w:szCs w:val="14"/>
        </w:rPr>
        <w:t>Şubat</w:t>
      </w:r>
      <w:r w:rsidRPr="00926F30">
        <w:rPr>
          <w:rFonts w:ascii="Times New Roman" w:hAnsi="Times New Roman" w:cs="Times New Roman"/>
          <w:b/>
          <w:sz w:val="18"/>
          <w:szCs w:val="14"/>
        </w:rPr>
        <w:t xml:space="preserve"> 2019</w:t>
      </w:r>
    </w:p>
    <w:tbl>
      <w:tblPr>
        <w:tblStyle w:val="OrtaGlgeleme2-Vurgu11"/>
        <w:tblpPr w:leftFromText="180" w:rightFromText="180" w:vertAnchor="page" w:horzAnchor="page" w:tblpX="1526" w:tblpY="2678"/>
        <w:tblW w:w="4780" w:type="pct"/>
        <w:tblLayout w:type="fixed"/>
        <w:tblLook w:val="04A0" w:firstRow="1" w:lastRow="0" w:firstColumn="1" w:lastColumn="0" w:noHBand="0" w:noVBand="1"/>
      </w:tblPr>
      <w:tblGrid>
        <w:gridCol w:w="683"/>
        <w:gridCol w:w="3074"/>
        <w:gridCol w:w="1272"/>
        <w:gridCol w:w="1274"/>
        <w:gridCol w:w="1269"/>
        <w:gridCol w:w="1269"/>
        <w:gridCol w:w="1269"/>
        <w:gridCol w:w="1269"/>
        <w:gridCol w:w="1261"/>
      </w:tblGrid>
      <w:tr w:rsidR="00B30C60" w:rsidRPr="00B30C60" w:rsidTr="00B30C60">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rsidR="00B30C60" w:rsidRPr="00B30C60" w:rsidRDefault="00B30C60" w:rsidP="00FC462C">
            <w:pPr>
              <w:jc w:val="cente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No</w:t>
            </w:r>
          </w:p>
        </w:tc>
        <w:tc>
          <w:tcPr>
            <w:tcW w:w="1216" w:type="pct"/>
            <w:vMerge w:val="restart"/>
            <w:noWrap/>
            <w:vAlign w:val="center"/>
            <w:hideMark/>
          </w:tcPr>
          <w:p w:rsidR="00B30C60" w:rsidRPr="00B30C60" w:rsidRDefault="00B30C60"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00B30C60">
              <w:rPr>
                <w:rFonts w:ascii="Times New Roman" w:eastAsia="Times New Roman" w:hAnsi="Times New Roman" w:cs="Times New Roman"/>
                <w:sz w:val="18"/>
                <w:szCs w:val="18"/>
              </w:rPr>
              <w:t xml:space="preserve">Ana </w:t>
            </w:r>
            <w:proofErr w:type="spellStart"/>
            <w:r w:rsidRPr="00B30C60">
              <w:rPr>
                <w:rFonts w:ascii="Times New Roman" w:eastAsia="Times New Roman" w:hAnsi="Times New Roman" w:cs="Times New Roman"/>
                <w:sz w:val="18"/>
                <w:szCs w:val="18"/>
              </w:rPr>
              <w:t>Harcama</w:t>
            </w:r>
            <w:proofErr w:type="spellEnd"/>
            <w:r w:rsidRPr="00B30C60">
              <w:rPr>
                <w:rFonts w:ascii="Times New Roman" w:eastAsia="Times New Roman" w:hAnsi="Times New Roman" w:cs="Times New Roman"/>
                <w:sz w:val="18"/>
                <w:szCs w:val="18"/>
              </w:rPr>
              <w:t xml:space="preserve"> </w:t>
            </w:r>
            <w:proofErr w:type="spellStart"/>
            <w:r w:rsidRPr="00B30C60">
              <w:rPr>
                <w:rFonts w:ascii="Times New Roman" w:eastAsia="Times New Roman" w:hAnsi="Times New Roman" w:cs="Times New Roman"/>
                <w:sz w:val="18"/>
                <w:szCs w:val="18"/>
              </w:rPr>
              <w:t>Grupları</w:t>
            </w:r>
            <w:proofErr w:type="spellEnd"/>
          </w:p>
          <w:p w:rsidR="00B30C60" w:rsidRPr="00B30C60" w:rsidRDefault="00B30C60"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503"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TR62</w:t>
            </w:r>
          </w:p>
        </w:tc>
        <w:tc>
          <w:tcPr>
            <w:tcW w:w="504"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TR51</w:t>
            </w:r>
          </w:p>
        </w:tc>
        <w:tc>
          <w:tcPr>
            <w:tcW w:w="502"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TR61</w:t>
            </w:r>
          </w:p>
        </w:tc>
        <w:tc>
          <w:tcPr>
            <w:tcW w:w="502"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TR32</w:t>
            </w:r>
          </w:p>
        </w:tc>
        <w:tc>
          <w:tcPr>
            <w:tcW w:w="502"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TRA2</w:t>
            </w:r>
          </w:p>
        </w:tc>
        <w:tc>
          <w:tcPr>
            <w:tcW w:w="502"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TR22</w:t>
            </w:r>
          </w:p>
        </w:tc>
        <w:tc>
          <w:tcPr>
            <w:tcW w:w="499" w:type="pct"/>
            <w:noWrap/>
            <w:hideMark/>
          </w:tcPr>
          <w:p w:rsidR="00B30C60" w:rsidRPr="00B30C60" w:rsidRDefault="00B30C60" w:rsidP="00FC46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TR41</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vMerge/>
            <w:hideMark/>
          </w:tcPr>
          <w:p w:rsidR="00B30C60" w:rsidRPr="00B30C60" w:rsidRDefault="00B30C60" w:rsidP="00FC462C">
            <w:pPr>
              <w:rPr>
                <w:rFonts w:ascii="Times New Roman" w:eastAsia="Times New Roman" w:hAnsi="Times New Roman" w:cs="Times New Roman"/>
                <w:color w:val="000000"/>
                <w:sz w:val="18"/>
                <w:szCs w:val="18"/>
              </w:rPr>
            </w:pPr>
          </w:p>
        </w:tc>
        <w:tc>
          <w:tcPr>
            <w:tcW w:w="1216" w:type="pct"/>
            <w:vMerge/>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p>
        </w:tc>
        <w:tc>
          <w:tcPr>
            <w:tcW w:w="503"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Adana</w:t>
            </w:r>
          </w:p>
        </w:tc>
        <w:tc>
          <w:tcPr>
            <w:tcW w:w="504"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Ankara</w:t>
            </w:r>
          </w:p>
        </w:tc>
        <w:tc>
          <w:tcPr>
            <w:tcW w:w="502"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Antalya</w:t>
            </w:r>
          </w:p>
        </w:tc>
        <w:tc>
          <w:tcPr>
            <w:tcW w:w="502"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Aydın</w:t>
            </w:r>
          </w:p>
        </w:tc>
        <w:tc>
          <w:tcPr>
            <w:tcW w:w="502"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proofErr w:type="spellStart"/>
            <w:r w:rsidRPr="00B30C60">
              <w:rPr>
                <w:rFonts w:ascii="Times New Roman" w:eastAsia="Times New Roman" w:hAnsi="Times New Roman" w:cs="Times New Roman"/>
                <w:b/>
                <w:bCs/>
                <w:sz w:val="18"/>
                <w:szCs w:val="18"/>
              </w:rPr>
              <w:t>Ağrı</w:t>
            </w:r>
            <w:proofErr w:type="spellEnd"/>
          </w:p>
        </w:tc>
        <w:tc>
          <w:tcPr>
            <w:tcW w:w="502"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proofErr w:type="spellStart"/>
            <w:r w:rsidRPr="00B30C60">
              <w:rPr>
                <w:rFonts w:ascii="Times New Roman" w:eastAsia="Times New Roman" w:hAnsi="Times New Roman" w:cs="Times New Roman"/>
                <w:b/>
                <w:bCs/>
                <w:sz w:val="18"/>
                <w:szCs w:val="18"/>
              </w:rPr>
              <w:t>Balıkesir</w:t>
            </w:r>
            <w:proofErr w:type="spellEnd"/>
          </w:p>
        </w:tc>
        <w:tc>
          <w:tcPr>
            <w:tcW w:w="499" w:type="pct"/>
            <w:noWrap/>
            <w:hideMark/>
          </w:tcPr>
          <w:p w:rsidR="00B30C60" w:rsidRPr="00B30C60" w:rsidRDefault="00B30C60" w:rsidP="00FC46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Bursa</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vMerge/>
            <w:hideMark/>
          </w:tcPr>
          <w:p w:rsidR="00B30C60" w:rsidRPr="00B30C60" w:rsidRDefault="00B30C60" w:rsidP="00FC462C">
            <w:pPr>
              <w:rPr>
                <w:rFonts w:ascii="Times New Roman" w:eastAsia="Times New Roman" w:hAnsi="Times New Roman" w:cs="Times New Roman"/>
                <w:color w:val="000000"/>
                <w:sz w:val="18"/>
                <w:szCs w:val="18"/>
              </w:rPr>
            </w:pPr>
          </w:p>
        </w:tc>
        <w:tc>
          <w:tcPr>
            <w:tcW w:w="1216" w:type="pct"/>
            <w:vMerge/>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p>
        </w:tc>
        <w:tc>
          <w:tcPr>
            <w:tcW w:w="503"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c>
          <w:tcPr>
            <w:tcW w:w="504"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c>
          <w:tcPr>
            <w:tcW w:w="502"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c>
          <w:tcPr>
            <w:tcW w:w="502"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c>
          <w:tcPr>
            <w:tcW w:w="502"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c>
          <w:tcPr>
            <w:tcW w:w="502"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c>
          <w:tcPr>
            <w:tcW w:w="499" w:type="pct"/>
            <w:noWrap/>
            <w:hideMark/>
          </w:tcPr>
          <w:p w:rsidR="00B30C60" w:rsidRPr="00B30C60" w:rsidRDefault="00B30C60" w:rsidP="00FC46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Alt </w:t>
            </w:r>
            <w:proofErr w:type="spellStart"/>
            <w:r w:rsidRPr="00B30C60">
              <w:rPr>
                <w:rFonts w:ascii="Times New Roman" w:eastAsia="Times New Roman" w:hAnsi="Times New Roman" w:cs="Times New Roman"/>
                <w:b/>
                <w:bCs/>
                <w:sz w:val="18"/>
                <w:szCs w:val="18"/>
              </w:rPr>
              <w:t>Bölgesi</w:t>
            </w:r>
            <w:proofErr w:type="spellEnd"/>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1</w:t>
            </w: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(Gıda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Alkolsüz</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İçecekler</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2,41</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-1.00</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1,37</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1,79</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1,77</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2,11</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0,74</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2</w:t>
            </w:r>
          </w:p>
        </w:tc>
        <w:tc>
          <w:tcPr>
            <w:tcW w:w="1216" w:type="pct"/>
            <w:noWrap/>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Alkollü</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İçecekler</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Tütün</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0,12</w:t>
            </w:r>
          </w:p>
        </w:tc>
        <w:tc>
          <w:tcPr>
            <w:tcW w:w="504"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0,03</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0,05</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0,45</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-0,01</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0,21</w:t>
            </w:r>
          </w:p>
        </w:tc>
        <w:tc>
          <w:tcPr>
            <w:tcW w:w="499"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0,13</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3</w:t>
            </w: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Giyim</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Ayakkabı</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-3,94</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-6,24</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-5,06</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-4,41</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-3,81</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-7,92</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-5,07</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4</w:t>
            </w:r>
          </w:p>
        </w:tc>
        <w:tc>
          <w:tcPr>
            <w:tcW w:w="1216" w:type="pct"/>
            <w:noWrap/>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Konut</w:t>
            </w:r>
            <w:proofErr w:type="spellEnd"/>
            <w:r w:rsidRPr="00B30C60">
              <w:rPr>
                <w:rFonts w:ascii="Times New Roman" w:eastAsia="Times New Roman" w:hAnsi="Times New Roman" w:cs="Times New Roman"/>
                <w:b/>
                <w:bCs/>
                <w:sz w:val="18"/>
                <w:szCs w:val="18"/>
              </w:rPr>
              <w:t xml:space="preserve">, Su, </w:t>
            </w:r>
            <w:proofErr w:type="spellStart"/>
            <w:r w:rsidRPr="00B30C60">
              <w:rPr>
                <w:rFonts w:ascii="Times New Roman" w:eastAsia="Times New Roman" w:hAnsi="Times New Roman" w:cs="Times New Roman"/>
                <w:b/>
                <w:bCs/>
                <w:sz w:val="18"/>
                <w:szCs w:val="18"/>
              </w:rPr>
              <w:t>Elektrik</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Gaz</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Diğer</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Yakıtlar</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0,33</w:t>
            </w:r>
          </w:p>
        </w:tc>
        <w:tc>
          <w:tcPr>
            <w:tcW w:w="504"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-2,25</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0,31</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0,52</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0,37</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0,29</w:t>
            </w:r>
          </w:p>
        </w:tc>
        <w:tc>
          <w:tcPr>
            <w:tcW w:w="499"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-0,41</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5</w:t>
            </w: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Mobilya</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Ev</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Aletleri</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Ev</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Bakım</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Hizmetleri</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0,34</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-0,55</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0,92</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0,31</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-0,05</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0,74</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0,36</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6</w:t>
            </w:r>
          </w:p>
        </w:tc>
        <w:tc>
          <w:tcPr>
            <w:tcW w:w="1216" w:type="pct"/>
            <w:noWrap/>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Sağlık</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4,11</w:t>
            </w:r>
          </w:p>
        </w:tc>
        <w:tc>
          <w:tcPr>
            <w:tcW w:w="504"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2,48</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2,96</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2,62</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6,68</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3,35</w:t>
            </w:r>
          </w:p>
        </w:tc>
        <w:tc>
          <w:tcPr>
            <w:tcW w:w="499"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2,61</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7</w:t>
            </w: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Ulaştırma</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0,69</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0,77</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0,84</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0,58</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0,47</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1,14</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1,01</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8</w:t>
            </w:r>
          </w:p>
        </w:tc>
        <w:tc>
          <w:tcPr>
            <w:tcW w:w="1216" w:type="pct"/>
            <w:noWrap/>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Haberleşme</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-0,6</w:t>
            </w:r>
          </w:p>
        </w:tc>
        <w:tc>
          <w:tcPr>
            <w:tcW w:w="504"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-0,18</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-0,86</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-0,6</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-1,08</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-0,02</w:t>
            </w:r>
          </w:p>
        </w:tc>
        <w:tc>
          <w:tcPr>
            <w:tcW w:w="499"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-0,06</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9</w:t>
            </w: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Eğlence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Kültür</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0,53</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-0,47</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-0,51</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-0,39</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-0,01</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0,37</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-0,75</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10</w:t>
            </w:r>
          </w:p>
        </w:tc>
        <w:tc>
          <w:tcPr>
            <w:tcW w:w="1216" w:type="pct"/>
            <w:noWrap/>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Eğitim</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1,52</w:t>
            </w:r>
          </w:p>
        </w:tc>
        <w:tc>
          <w:tcPr>
            <w:tcW w:w="504"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4,7</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5,5</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-0,9</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0,58</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0,25</w:t>
            </w:r>
          </w:p>
        </w:tc>
        <w:tc>
          <w:tcPr>
            <w:tcW w:w="499"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-1,26</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11</w:t>
            </w: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Lokanta</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Oteller</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0,42</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1.0</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0,75</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1,15</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1,96</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0,78</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1,25</w:t>
            </w:r>
          </w:p>
        </w:tc>
      </w:tr>
      <w:tr w:rsidR="00B30C60" w:rsidRPr="00B30C60" w:rsidTr="00B30C60">
        <w:trPr>
          <w:trHeight w:val="247"/>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sz w:val="18"/>
                <w:szCs w:val="18"/>
              </w:rPr>
            </w:pPr>
            <w:r w:rsidRPr="00B30C60">
              <w:rPr>
                <w:rFonts w:ascii="Times New Roman" w:eastAsia="Times New Roman" w:hAnsi="Times New Roman" w:cs="Times New Roman"/>
                <w:sz w:val="18"/>
                <w:szCs w:val="18"/>
              </w:rPr>
              <w:t>12</w:t>
            </w:r>
          </w:p>
        </w:tc>
        <w:tc>
          <w:tcPr>
            <w:tcW w:w="1216" w:type="pct"/>
            <w:noWrap/>
            <w:hideMark/>
          </w:tcPr>
          <w:p w:rsidR="00B30C60" w:rsidRPr="00B30C60"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Çeşitli</w:t>
            </w:r>
            <w:proofErr w:type="spellEnd"/>
            <w:r w:rsidRPr="00B30C60">
              <w:rPr>
                <w:rFonts w:ascii="Times New Roman" w:eastAsia="Times New Roman" w:hAnsi="Times New Roman" w:cs="Times New Roman"/>
                <w:b/>
                <w:bCs/>
                <w:sz w:val="18"/>
                <w:szCs w:val="18"/>
              </w:rPr>
              <w:t xml:space="preserve"> Mal </w:t>
            </w:r>
            <w:proofErr w:type="spellStart"/>
            <w:r w:rsidRPr="00B30C60">
              <w:rPr>
                <w:rFonts w:ascii="Times New Roman" w:eastAsia="Times New Roman" w:hAnsi="Times New Roman" w:cs="Times New Roman"/>
                <w:b/>
                <w:bCs/>
                <w:sz w:val="18"/>
                <w:szCs w:val="18"/>
              </w:rPr>
              <w:t>Ve</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Hizmetler</w:t>
            </w:r>
            <w:proofErr w:type="spellEnd"/>
            <w:r w:rsidRPr="00B30C60">
              <w:rPr>
                <w:rFonts w:ascii="Times New Roman" w:eastAsia="Times New Roman" w:hAnsi="Times New Roman" w:cs="Times New Roman"/>
                <w:b/>
                <w:bCs/>
                <w:sz w:val="18"/>
                <w:szCs w:val="18"/>
              </w:rPr>
              <w:t>)</w:t>
            </w:r>
          </w:p>
        </w:tc>
        <w:tc>
          <w:tcPr>
            <w:tcW w:w="503"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-0,59</w:t>
            </w:r>
          </w:p>
        </w:tc>
        <w:tc>
          <w:tcPr>
            <w:tcW w:w="504"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-0,58</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-1,37</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-0,45</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-0,7</w:t>
            </w:r>
          </w:p>
        </w:tc>
        <w:tc>
          <w:tcPr>
            <w:tcW w:w="502"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-1,07</w:t>
            </w:r>
          </w:p>
        </w:tc>
        <w:tc>
          <w:tcPr>
            <w:tcW w:w="499" w:type="pct"/>
            <w:noWrap/>
          </w:tcPr>
          <w:p w:rsidR="00B30C60" w:rsidRPr="00B30C60"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0C60">
              <w:rPr>
                <w:sz w:val="18"/>
                <w:szCs w:val="18"/>
              </w:rPr>
              <w:t>-0,32</w:t>
            </w:r>
          </w:p>
        </w:tc>
      </w:tr>
      <w:tr w:rsidR="00B30C60" w:rsidRPr="00B30C60" w:rsidTr="00B30C6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B30C60" w:rsidRDefault="00B30C60" w:rsidP="00FC462C">
            <w:pPr>
              <w:rPr>
                <w:rFonts w:ascii="Times New Roman" w:eastAsia="Times New Roman" w:hAnsi="Times New Roman" w:cs="Times New Roman"/>
                <w:color w:val="000000"/>
                <w:sz w:val="18"/>
                <w:szCs w:val="18"/>
              </w:rPr>
            </w:pPr>
          </w:p>
        </w:tc>
        <w:tc>
          <w:tcPr>
            <w:tcW w:w="1216" w:type="pct"/>
            <w:noWrap/>
            <w:hideMark/>
          </w:tcPr>
          <w:p w:rsidR="00B30C60" w:rsidRPr="00B30C60"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B30C60">
              <w:rPr>
                <w:rFonts w:ascii="Times New Roman" w:eastAsia="Times New Roman" w:hAnsi="Times New Roman" w:cs="Times New Roman"/>
                <w:b/>
                <w:bCs/>
                <w:sz w:val="18"/>
                <w:szCs w:val="18"/>
              </w:rPr>
              <w:t xml:space="preserve"> TÜFE </w:t>
            </w:r>
            <w:proofErr w:type="spellStart"/>
            <w:r w:rsidRPr="00B30C60">
              <w:rPr>
                <w:rFonts w:ascii="Times New Roman" w:eastAsia="Times New Roman" w:hAnsi="Times New Roman" w:cs="Times New Roman"/>
                <w:b/>
                <w:bCs/>
                <w:sz w:val="18"/>
                <w:szCs w:val="18"/>
              </w:rPr>
              <w:t>Aylık</w:t>
            </w:r>
            <w:proofErr w:type="spellEnd"/>
            <w:r w:rsidRPr="00B30C60">
              <w:rPr>
                <w:rFonts w:ascii="Times New Roman" w:eastAsia="Times New Roman" w:hAnsi="Times New Roman" w:cs="Times New Roman"/>
                <w:b/>
                <w:bCs/>
                <w:sz w:val="18"/>
                <w:szCs w:val="18"/>
              </w:rPr>
              <w:t xml:space="preserve"> </w:t>
            </w:r>
            <w:proofErr w:type="spellStart"/>
            <w:r w:rsidRPr="00B30C60">
              <w:rPr>
                <w:rFonts w:ascii="Times New Roman" w:eastAsia="Times New Roman" w:hAnsi="Times New Roman" w:cs="Times New Roman"/>
                <w:b/>
                <w:bCs/>
                <w:sz w:val="18"/>
                <w:szCs w:val="18"/>
              </w:rPr>
              <w:t>Değişim</w:t>
            </w:r>
            <w:proofErr w:type="spellEnd"/>
          </w:p>
        </w:tc>
        <w:tc>
          <w:tcPr>
            <w:tcW w:w="503"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0,75</w:t>
            </w:r>
          </w:p>
        </w:tc>
        <w:tc>
          <w:tcPr>
            <w:tcW w:w="504"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-0,6</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0,52</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0,47</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0,52</w:t>
            </w:r>
          </w:p>
        </w:tc>
        <w:tc>
          <w:tcPr>
            <w:tcW w:w="502"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0,52</w:t>
            </w:r>
          </w:p>
        </w:tc>
        <w:tc>
          <w:tcPr>
            <w:tcW w:w="499" w:type="pct"/>
            <w:noWrap/>
          </w:tcPr>
          <w:p w:rsidR="00B30C60" w:rsidRPr="00B30C60"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0C60">
              <w:rPr>
                <w:sz w:val="18"/>
                <w:szCs w:val="18"/>
              </w:rPr>
              <w:t>0,06</w:t>
            </w:r>
          </w:p>
        </w:tc>
      </w:tr>
    </w:tbl>
    <w:p w:rsidR="00B30C60" w:rsidRPr="00926F30" w:rsidRDefault="00B30C60" w:rsidP="00B30C60">
      <w:pPr>
        <w:rPr>
          <w:rFonts w:ascii="Times New Roman" w:hAnsi="Times New Roman" w:cs="Times New Roman"/>
          <w:b/>
          <w:sz w:val="16"/>
          <w:szCs w:val="14"/>
        </w:rPr>
        <w:sectPr w:rsidR="00B30C60" w:rsidRPr="00926F30" w:rsidSect="00FC462C">
          <w:pgSz w:w="15840" w:h="12240" w:orient="landscape"/>
          <w:pgMar w:top="1417" w:right="1417" w:bottom="1417" w:left="1417" w:header="708" w:footer="708" w:gutter="0"/>
          <w:cols w:space="708"/>
          <w:docGrid w:linePitch="360"/>
        </w:sect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516"/>
        <w:gridCol w:w="2329"/>
        <w:gridCol w:w="958"/>
        <w:gridCol w:w="957"/>
        <w:gridCol w:w="958"/>
        <w:gridCol w:w="958"/>
        <w:gridCol w:w="907"/>
        <w:gridCol w:w="1010"/>
        <w:gridCol w:w="953"/>
      </w:tblGrid>
      <w:tr w:rsidR="00B30C60" w:rsidRPr="00381CB1" w:rsidTr="00FC46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No</w:t>
            </w:r>
          </w:p>
        </w:tc>
        <w:tc>
          <w:tcPr>
            <w:tcW w:w="1220" w:type="pct"/>
            <w:vMerge w:val="restart"/>
            <w:noWrap/>
            <w:vAlign w:val="center"/>
            <w:hideMark/>
          </w:tcPr>
          <w:p w:rsidR="00B30C60" w:rsidRPr="00381CB1" w:rsidRDefault="00B30C60"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381CB1">
              <w:rPr>
                <w:rFonts w:ascii="Times New Roman" w:eastAsia="Times New Roman" w:hAnsi="Times New Roman" w:cs="Times New Roman"/>
              </w:rPr>
              <w:t xml:space="preserve">Ana </w:t>
            </w:r>
            <w:proofErr w:type="spellStart"/>
            <w:r w:rsidRPr="00381CB1">
              <w:rPr>
                <w:rFonts w:ascii="Times New Roman" w:eastAsia="Times New Roman" w:hAnsi="Times New Roman" w:cs="Times New Roman"/>
              </w:rPr>
              <w:t>Harcama</w:t>
            </w:r>
            <w:proofErr w:type="spellEnd"/>
            <w:r w:rsidRPr="00381CB1">
              <w:rPr>
                <w:rFonts w:ascii="Times New Roman" w:eastAsia="Times New Roman" w:hAnsi="Times New Roman" w:cs="Times New Roman"/>
              </w:rPr>
              <w:t xml:space="preserve"> </w:t>
            </w:r>
            <w:proofErr w:type="spellStart"/>
            <w:r w:rsidRPr="00381CB1">
              <w:rPr>
                <w:rFonts w:ascii="Times New Roman" w:eastAsia="Times New Roman" w:hAnsi="Times New Roman" w:cs="Times New Roman"/>
              </w:rPr>
              <w:t>Grupları</w:t>
            </w:r>
            <w:proofErr w:type="spellEnd"/>
          </w:p>
        </w:tc>
        <w:tc>
          <w:tcPr>
            <w:tcW w:w="50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TRA1</w:t>
            </w:r>
          </w:p>
        </w:tc>
        <w:tc>
          <w:tcPr>
            <w:tcW w:w="501"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TRC1</w:t>
            </w:r>
          </w:p>
        </w:tc>
        <w:tc>
          <w:tcPr>
            <w:tcW w:w="50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TR63</w:t>
            </w:r>
          </w:p>
        </w:tc>
        <w:tc>
          <w:tcPr>
            <w:tcW w:w="50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TR82</w:t>
            </w:r>
          </w:p>
        </w:tc>
        <w:tc>
          <w:tcPr>
            <w:tcW w:w="475"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TR72</w:t>
            </w:r>
          </w:p>
        </w:tc>
        <w:tc>
          <w:tcPr>
            <w:tcW w:w="529"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TR42</w:t>
            </w:r>
          </w:p>
        </w:tc>
        <w:tc>
          <w:tcPr>
            <w:tcW w:w="499"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TR52</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rsidR="00B30C60" w:rsidRPr="00381CB1" w:rsidRDefault="00B30C60" w:rsidP="00FC462C">
            <w:pPr>
              <w:rPr>
                <w:rFonts w:ascii="Times New Roman" w:eastAsia="Times New Roman" w:hAnsi="Times New Roman" w:cs="Times New Roman"/>
                <w:color w:val="000000"/>
              </w:rPr>
            </w:pPr>
          </w:p>
        </w:tc>
        <w:tc>
          <w:tcPr>
            <w:tcW w:w="1220" w:type="pct"/>
            <w:vMerge/>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Erzurum</w:t>
            </w:r>
          </w:p>
        </w:tc>
        <w:tc>
          <w:tcPr>
            <w:tcW w:w="501"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Gaziantep</w:t>
            </w:r>
          </w:p>
        </w:tc>
        <w:tc>
          <w:tcPr>
            <w:tcW w:w="50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Hatay</w:t>
            </w:r>
            <w:proofErr w:type="spellEnd"/>
          </w:p>
        </w:tc>
        <w:tc>
          <w:tcPr>
            <w:tcW w:w="50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Kastamonu</w:t>
            </w:r>
            <w:proofErr w:type="spellEnd"/>
          </w:p>
        </w:tc>
        <w:tc>
          <w:tcPr>
            <w:tcW w:w="475"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Kayseri</w:t>
            </w:r>
          </w:p>
        </w:tc>
        <w:tc>
          <w:tcPr>
            <w:tcW w:w="52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Kocaeli</w:t>
            </w:r>
            <w:proofErr w:type="spellEnd"/>
          </w:p>
        </w:tc>
        <w:tc>
          <w:tcPr>
            <w:tcW w:w="49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Konya</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rsidR="00B30C60" w:rsidRPr="00381CB1" w:rsidRDefault="00B30C60" w:rsidP="00FC462C">
            <w:pPr>
              <w:rPr>
                <w:rFonts w:ascii="Times New Roman" w:eastAsia="Times New Roman" w:hAnsi="Times New Roman" w:cs="Times New Roman"/>
                <w:color w:val="000000"/>
              </w:rPr>
            </w:pPr>
          </w:p>
        </w:tc>
        <w:tc>
          <w:tcPr>
            <w:tcW w:w="1220" w:type="pct"/>
            <w:vMerge/>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1"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475"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2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49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w:t>
            </w: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(Gıda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Alkolsüz</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İçecekler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1,47</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1,57</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2,26</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2,09</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0,83</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1,37</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2</w:t>
            </w:r>
          </w:p>
        </w:tc>
        <w:tc>
          <w:tcPr>
            <w:tcW w:w="122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Alkollü</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İçecekler</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Tütün</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0,04</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0,05</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475"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52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0,14</w:t>
            </w:r>
          </w:p>
        </w:tc>
        <w:tc>
          <w:tcPr>
            <w:tcW w:w="49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3</w:t>
            </w: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Giyim</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Ayakkabı</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-5,3</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-4,94</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-6,42</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-5,51</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-5,17</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-5,5</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-5,65</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4</w:t>
            </w:r>
          </w:p>
        </w:tc>
        <w:tc>
          <w:tcPr>
            <w:tcW w:w="122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Konut</w:t>
            </w:r>
            <w:proofErr w:type="spellEnd"/>
            <w:r w:rsidRPr="00381CB1">
              <w:rPr>
                <w:rFonts w:ascii="Times New Roman" w:eastAsia="Times New Roman" w:hAnsi="Times New Roman" w:cs="Times New Roman"/>
                <w:b/>
                <w:bCs/>
              </w:rPr>
              <w:t xml:space="preserve">, Su, </w:t>
            </w:r>
            <w:proofErr w:type="spellStart"/>
            <w:r w:rsidRPr="00381CB1">
              <w:rPr>
                <w:rFonts w:ascii="Times New Roman" w:eastAsia="Times New Roman" w:hAnsi="Times New Roman" w:cs="Times New Roman"/>
                <w:b/>
                <w:bCs/>
              </w:rPr>
              <w:t>Elektrik</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Gaz</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Diğer</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Yakıtlar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0,33</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-0,36</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0,36</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475"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w:t>
            </w:r>
          </w:p>
        </w:tc>
        <w:tc>
          <w:tcPr>
            <w:tcW w:w="52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0,51</w:t>
            </w:r>
          </w:p>
        </w:tc>
        <w:tc>
          <w:tcPr>
            <w:tcW w:w="49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0,21</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5</w:t>
            </w: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Mobilya</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Ev</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Aletleri</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Ev</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Bakım</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Hizmetleri</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0,56</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0,13</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-0,27</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0,15</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6</w:t>
            </w:r>
          </w:p>
        </w:tc>
        <w:tc>
          <w:tcPr>
            <w:tcW w:w="122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Sağlık</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2,3</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3,95</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3,75</w:t>
            </w:r>
          </w:p>
        </w:tc>
        <w:tc>
          <w:tcPr>
            <w:tcW w:w="475"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4,03</w:t>
            </w:r>
          </w:p>
        </w:tc>
        <w:tc>
          <w:tcPr>
            <w:tcW w:w="52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2,86</w:t>
            </w:r>
          </w:p>
        </w:tc>
        <w:tc>
          <w:tcPr>
            <w:tcW w:w="49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2,35</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7</w:t>
            </w: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Ulaştırma</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0,34</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0,52</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1,19</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1,35</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0,83</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0,91</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8</w:t>
            </w:r>
          </w:p>
        </w:tc>
        <w:tc>
          <w:tcPr>
            <w:tcW w:w="122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Haberleşme</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-0,53</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-0,49</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0,17</w:t>
            </w:r>
          </w:p>
        </w:tc>
        <w:tc>
          <w:tcPr>
            <w:tcW w:w="475"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-1,25</w:t>
            </w:r>
          </w:p>
        </w:tc>
        <w:tc>
          <w:tcPr>
            <w:tcW w:w="52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-0,46</w:t>
            </w:r>
          </w:p>
        </w:tc>
        <w:tc>
          <w:tcPr>
            <w:tcW w:w="49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0,08</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9</w:t>
            </w: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Eğlence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Kültür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-2,07</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-0,48</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-0,82</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-0,53</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10</w:t>
            </w:r>
          </w:p>
        </w:tc>
        <w:tc>
          <w:tcPr>
            <w:tcW w:w="122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Eğitim</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0,21</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1,67</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4,01</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475"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1,19</w:t>
            </w:r>
          </w:p>
        </w:tc>
        <w:tc>
          <w:tcPr>
            <w:tcW w:w="52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0,43</w:t>
            </w:r>
          </w:p>
        </w:tc>
        <w:tc>
          <w:tcPr>
            <w:tcW w:w="49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-0,29</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11</w:t>
            </w: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Lokanta</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Oteller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1,08</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0,57</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1,23</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0,83</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0,11</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12</w:t>
            </w:r>
          </w:p>
        </w:tc>
        <w:tc>
          <w:tcPr>
            <w:tcW w:w="122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Çeşitli</w:t>
            </w:r>
            <w:proofErr w:type="spellEnd"/>
            <w:r w:rsidRPr="00381CB1">
              <w:rPr>
                <w:rFonts w:ascii="Times New Roman" w:eastAsia="Times New Roman" w:hAnsi="Times New Roman" w:cs="Times New Roman"/>
                <w:b/>
                <w:bCs/>
              </w:rPr>
              <w:t xml:space="preserve"> Mal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Hizmetler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-2,05</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-0,09</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-0,42</w:t>
            </w:r>
          </w:p>
        </w:tc>
        <w:tc>
          <w:tcPr>
            <w:tcW w:w="475"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-0,35</w:t>
            </w:r>
          </w:p>
        </w:tc>
        <w:tc>
          <w:tcPr>
            <w:tcW w:w="52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-0,36</w:t>
            </w:r>
          </w:p>
        </w:tc>
        <w:tc>
          <w:tcPr>
            <w:tcW w:w="499"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-0,81</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B30C60" w:rsidRPr="00381CB1" w:rsidRDefault="00B30C60" w:rsidP="00FC462C">
            <w:pPr>
              <w:rPr>
                <w:rFonts w:ascii="Times New Roman" w:eastAsia="Times New Roman" w:hAnsi="Times New Roman" w:cs="Times New Roman"/>
                <w:color w:val="000000"/>
              </w:rPr>
            </w:pPr>
          </w:p>
        </w:tc>
        <w:tc>
          <w:tcPr>
            <w:tcW w:w="122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TÜFE </w:t>
            </w:r>
            <w:proofErr w:type="spellStart"/>
            <w:r w:rsidRPr="00381CB1">
              <w:rPr>
                <w:rFonts w:ascii="Times New Roman" w:eastAsia="Times New Roman" w:hAnsi="Times New Roman" w:cs="Times New Roman"/>
                <w:b/>
                <w:bCs/>
              </w:rPr>
              <w:t>Aylık</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Değişim</w:t>
            </w:r>
            <w:proofErr w:type="spellEnd"/>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0,09</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475"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0,18</w:t>
            </w:r>
          </w:p>
        </w:tc>
        <w:tc>
          <w:tcPr>
            <w:tcW w:w="52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0,08</w:t>
            </w:r>
          </w:p>
        </w:tc>
        <w:tc>
          <w:tcPr>
            <w:tcW w:w="499"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w:t>
            </w:r>
          </w:p>
        </w:tc>
      </w:tr>
    </w:tbl>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p w:rsidR="00B30C60" w:rsidRPr="00926F30" w:rsidRDefault="00B30C60" w:rsidP="00B30C60">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514"/>
        <w:gridCol w:w="2194"/>
        <w:gridCol w:w="958"/>
        <w:gridCol w:w="955"/>
        <w:gridCol w:w="958"/>
        <w:gridCol w:w="958"/>
        <w:gridCol w:w="957"/>
        <w:gridCol w:w="941"/>
        <w:gridCol w:w="1111"/>
      </w:tblGrid>
      <w:tr w:rsidR="00B30C60" w:rsidRPr="00381CB1" w:rsidTr="00FC46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No</w:t>
            </w:r>
          </w:p>
        </w:tc>
        <w:tc>
          <w:tcPr>
            <w:tcW w:w="1149" w:type="pct"/>
            <w:vMerge w:val="restart"/>
            <w:noWrap/>
            <w:hideMark/>
          </w:tcPr>
          <w:p w:rsidR="00B30C60" w:rsidRPr="00381CB1" w:rsidRDefault="00B30C60"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 xml:space="preserve">Ana </w:t>
            </w:r>
            <w:proofErr w:type="spellStart"/>
            <w:r w:rsidRPr="00381CB1">
              <w:rPr>
                <w:rFonts w:ascii="Times New Roman" w:eastAsia="Times New Roman" w:hAnsi="Times New Roman" w:cs="Times New Roman"/>
              </w:rPr>
              <w:t>Harcama</w:t>
            </w:r>
            <w:proofErr w:type="spellEnd"/>
            <w:r w:rsidRPr="00381CB1">
              <w:rPr>
                <w:rFonts w:ascii="Times New Roman" w:eastAsia="Times New Roman" w:hAnsi="Times New Roman" w:cs="Times New Roman"/>
              </w:rPr>
              <w:t xml:space="preserve"> </w:t>
            </w:r>
            <w:proofErr w:type="spellStart"/>
            <w:r w:rsidRPr="00381CB1">
              <w:rPr>
                <w:rFonts w:ascii="Times New Roman" w:eastAsia="Times New Roman" w:hAnsi="Times New Roman" w:cs="Times New Roman"/>
              </w:rPr>
              <w:t>Grupları</w:t>
            </w:r>
            <w:proofErr w:type="spellEnd"/>
          </w:p>
        </w:tc>
        <w:tc>
          <w:tcPr>
            <w:tcW w:w="50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TR71</w:t>
            </w:r>
          </w:p>
        </w:tc>
        <w:tc>
          <w:tcPr>
            <w:tcW w:w="500"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TRB1</w:t>
            </w:r>
          </w:p>
        </w:tc>
        <w:tc>
          <w:tcPr>
            <w:tcW w:w="50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TR33</w:t>
            </w:r>
          </w:p>
        </w:tc>
        <w:tc>
          <w:tcPr>
            <w:tcW w:w="50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TRC3</w:t>
            </w:r>
          </w:p>
        </w:tc>
        <w:tc>
          <w:tcPr>
            <w:tcW w:w="501"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TR83</w:t>
            </w:r>
          </w:p>
        </w:tc>
        <w:tc>
          <w:tcPr>
            <w:tcW w:w="493"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TR21</w:t>
            </w:r>
          </w:p>
        </w:tc>
        <w:tc>
          <w:tcPr>
            <w:tcW w:w="58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TR90</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rsidR="00B30C60" w:rsidRPr="00381CB1" w:rsidRDefault="00B30C60" w:rsidP="00FC462C">
            <w:pPr>
              <w:rPr>
                <w:rFonts w:ascii="Times New Roman" w:eastAsia="Times New Roman" w:hAnsi="Times New Roman" w:cs="Times New Roman"/>
                <w:color w:val="000000"/>
              </w:rPr>
            </w:pPr>
          </w:p>
        </w:tc>
        <w:tc>
          <w:tcPr>
            <w:tcW w:w="1149" w:type="pct"/>
            <w:vMerge/>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Kırıkkale</w:t>
            </w:r>
            <w:proofErr w:type="spellEnd"/>
          </w:p>
        </w:tc>
        <w:tc>
          <w:tcPr>
            <w:tcW w:w="50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Malatya</w:t>
            </w:r>
          </w:p>
        </w:tc>
        <w:tc>
          <w:tcPr>
            <w:tcW w:w="50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Manisa</w:t>
            </w:r>
            <w:proofErr w:type="spellEnd"/>
          </w:p>
        </w:tc>
        <w:tc>
          <w:tcPr>
            <w:tcW w:w="50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Mardin</w:t>
            </w:r>
            <w:proofErr w:type="spellEnd"/>
          </w:p>
        </w:tc>
        <w:tc>
          <w:tcPr>
            <w:tcW w:w="501"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Samsun</w:t>
            </w:r>
          </w:p>
        </w:tc>
        <w:tc>
          <w:tcPr>
            <w:tcW w:w="493"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Tekirdağ</w:t>
            </w:r>
            <w:proofErr w:type="spellEnd"/>
          </w:p>
        </w:tc>
        <w:tc>
          <w:tcPr>
            <w:tcW w:w="58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Trabzon</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rsidR="00B30C60" w:rsidRPr="00381CB1" w:rsidRDefault="00B30C60" w:rsidP="00FC462C">
            <w:pPr>
              <w:rPr>
                <w:rFonts w:ascii="Times New Roman" w:eastAsia="Times New Roman" w:hAnsi="Times New Roman" w:cs="Times New Roman"/>
                <w:color w:val="000000"/>
              </w:rPr>
            </w:pPr>
          </w:p>
        </w:tc>
        <w:tc>
          <w:tcPr>
            <w:tcW w:w="1149" w:type="pct"/>
            <w:vMerge/>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01"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493"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8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w:t>
            </w: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(Gıda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Alkolsüz</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İçecekler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0,92</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0,62</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1,85</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0,95</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0,53</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2,72</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2</w:t>
            </w:r>
          </w:p>
        </w:tc>
        <w:tc>
          <w:tcPr>
            <w:tcW w:w="114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Alkollü</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İçecekler</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Tütün</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0,08</w:t>
            </w:r>
          </w:p>
        </w:tc>
        <w:tc>
          <w:tcPr>
            <w:tcW w:w="50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0,02</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493"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0,09</w:t>
            </w:r>
          </w:p>
        </w:tc>
        <w:tc>
          <w:tcPr>
            <w:tcW w:w="58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0,04</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3</w:t>
            </w: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Giyim</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Ayakkabı</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-3,19</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-6,56</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-5,61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-8,34</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-7,55</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-4,41</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-4,68</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4</w:t>
            </w:r>
          </w:p>
        </w:tc>
        <w:tc>
          <w:tcPr>
            <w:tcW w:w="114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Konut</w:t>
            </w:r>
            <w:proofErr w:type="spellEnd"/>
            <w:r w:rsidRPr="00381CB1">
              <w:rPr>
                <w:rFonts w:ascii="Times New Roman" w:eastAsia="Times New Roman" w:hAnsi="Times New Roman" w:cs="Times New Roman"/>
                <w:b/>
                <w:bCs/>
              </w:rPr>
              <w:t xml:space="preserve">, Su, </w:t>
            </w:r>
            <w:proofErr w:type="spellStart"/>
            <w:r w:rsidRPr="00381CB1">
              <w:rPr>
                <w:rFonts w:ascii="Times New Roman" w:eastAsia="Times New Roman" w:hAnsi="Times New Roman" w:cs="Times New Roman"/>
                <w:b/>
                <w:bCs/>
              </w:rPr>
              <w:t>Elektrik</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Gaz</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Diğer</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Yakıtlar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50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0,18</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0,41</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0,41</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493"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0,05</w:t>
            </w:r>
          </w:p>
        </w:tc>
        <w:tc>
          <w:tcPr>
            <w:tcW w:w="58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0,28</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5</w:t>
            </w: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Mobilya</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Ev</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Aletleri</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Ev</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Bakım</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Hizmetleri</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-0,14</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0,34</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-0,28</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-0,82</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-0,54</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6</w:t>
            </w:r>
          </w:p>
        </w:tc>
        <w:tc>
          <w:tcPr>
            <w:tcW w:w="114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Sağlık</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4,01</w:t>
            </w:r>
          </w:p>
        </w:tc>
        <w:tc>
          <w:tcPr>
            <w:tcW w:w="50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3,15</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2,67</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9,99</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2,14</w:t>
            </w:r>
          </w:p>
        </w:tc>
        <w:tc>
          <w:tcPr>
            <w:tcW w:w="493"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2,49</w:t>
            </w:r>
          </w:p>
        </w:tc>
        <w:tc>
          <w:tcPr>
            <w:tcW w:w="58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2,54</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7</w:t>
            </w: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Ulaştırma</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0,78</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1,03</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1,87</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0,59</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0,95</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8</w:t>
            </w:r>
          </w:p>
        </w:tc>
        <w:tc>
          <w:tcPr>
            <w:tcW w:w="114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Haberleşme</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0,13</w:t>
            </w:r>
          </w:p>
        </w:tc>
        <w:tc>
          <w:tcPr>
            <w:tcW w:w="50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-0,45</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-2,25</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-2,3</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c>
          <w:tcPr>
            <w:tcW w:w="493"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-0,17</w:t>
            </w:r>
          </w:p>
        </w:tc>
        <w:tc>
          <w:tcPr>
            <w:tcW w:w="58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-0,11</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9</w:t>
            </w: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Eğlence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Kültür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-0,56</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-1,31</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-0,19</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-0,54</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-0,84</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0,52</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10</w:t>
            </w:r>
          </w:p>
        </w:tc>
        <w:tc>
          <w:tcPr>
            <w:tcW w:w="114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Eğitim</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1,39</w:t>
            </w:r>
          </w:p>
        </w:tc>
        <w:tc>
          <w:tcPr>
            <w:tcW w:w="50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-0,49</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1,35</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2,55</w:t>
            </w:r>
          </w:p>
        </w:tc>
        <w:tc>
          <w:tcPr>
            <w:tcW w:w="493"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2,44</w:t>
            </w:r>
          </w:p>
        </w:tc>
        <w:tc>
          <w:tcPr>
            <w:tcW w:w="58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0,74</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11</w:t>
            </w: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Lokanta</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Oteller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0,84</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1,03</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0,43</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0,84</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0,46</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1,16</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12</w:t>
            </w:r>
          </w:p>
        </w:tc>
        <w:tc>
          <w:tcPr>
            <w:tcW w:w="1149"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Çeşitli</w:t>
            </w:r>
            <w:proofErr w:type="spellEnd"/>
            <w:r w:rsidRPr="00381CB1">
              <w:rPr>
                <w:rFonts w:ascii="Times New Roman" w:eastAsia="Times New Roman" w:hAnsi="Times New Roman" w:cs="Times New Roman"/>
                <w:b/>
                <w:bCs/>
              </w:rPr>
              <w:t xml:space="preserve"> Mal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Hizmetler</w:t>
            </w:r>
            <w:proofErr w:type="spellEnd"/>
            <w:r w:rsidRPr="00381CB1">
              <w:rPr>
                <w:rFonts w:ascii="Times New Roman" w:eastAsia="Times New Roman" w:hAnsi="Times New Roman" w:cs="Times New Roman"/>
                <w:b/>
                <w:bCs/>
              </w:rPr>
              <w:t>)</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0,27</w:t>
            </w:r>
          </w:p>
        </w:tc>
        <w:tc>
          <w:tcPr>
            <w:tcW w:w="50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-0,15</w:t>
            </w:r>
          </w:p>
        </w:tc>
        <w:tc>
          <w:tcPr>
            <w:tcW w:w="50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501"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-0,14</w:t>
            </w:r>
          </w:p>
        </w:tc>
        <w:tc>
          <w:tcPr>
            <w:tcW w:w="493"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-0,37</w:t>
            </w:r>
          </w:p>
        </w:tc>
        <w:tc>
          <w:tcPr>
            <w:tcW w:w="58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0,02</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B30C60" w:rsidRPr="00381CB1" w:rsidRDefault="00B30C60" w:rsidP="00FC462C">
            <w:pPr>
              <w:rPr>
                <w:rFonts w:ascii="Times New Roman" w:eastAsia="Times New Roman" w:hAnsi="Times New Roman" w:cs="Times New Roman"/>
                <w:color w:val="000000"/>
              </w:rPr>
            </w:pPr>
          </w:p>
        </w:tc>
        <w:tc>
          <w:tcPr>
            <w:tcW w:w="1149"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TÜFE </w:t>
            </w:r>
            <w:proofErr w:type="spellStart"/>
            <w:r w:rsidRPr="00381CB1">
              <w:rPr>
                <w:rFonts w:ascii="Times New Roman" w:eastAsia="Times New Roman" w:hAnsi="Times New Roman" w:cs="Times New Roman"/>
                <w:b/>
                <w:bCs/>
              </w:rPr>
              <w:t>Aylık</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Değişim</w:t>
            </w:r>
            <w:proofErr w:type="spellEnd"/>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0,35</w:t>
            </w:r>
          </w:p>
        </w:tc>
        <w:tc>
          <w:tcPr>
            <w:tcW w:w="50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-0,05</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0,34</w:t>
            </w:r>
          </w:p>
        </w:tc>
        <w:tc>
          <w:tcPr>
            <w:tcW w:w="50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-0,42</w:t>
            </w:r>
          </w:p>
        </w:tc>
        <w:tc>
          <w:tcPr>
            <w:tcW w:w="501"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0,04</w:t>
            </w:r>
          </w:p>
        </w:tc>
        <w:tc>
          <w:tcPr>
            <w:tcW w:w="493"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0,16</w:t>
            </w:r>
          </w:p>
        </w:tc>
        <w:tc>
          <w:tcPr>
            <w:tcW w:w="58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0,62</w:t>
            </w:r>
          </w:p>
        </w:tc>
      </w:tr>
    </w:tbl>
    <w:tbl>
      <w:tblPr>
        <w:tblStyle w:val="OrtaGlgeleme2-Vurgu1"/>
        <w:tblW w:w="4082" w:type="pct"/>
        <w:tblLayout w:type="fixed"/>
        <w:tblLook w:val="04A0" w:firstRow="1" w:lastRow="0" w:firstColumn="1" w:lastColumn="0" w:noHBand="0" w:noVBand="1"/>
      </w:tblPr>
      <w:tblGrid>
        <w:gridCol w:w="517"/>
        <w:gridCol w:w="2330"/>
        <w:gridCol w:w="958"/>
        <w:gridCol w:w="955"/>
        <w:gridCol w:w="958"/>
        <w:gridCol w:w="958"/>
        <w:gridCol w:w="907"/>
      </w:tblGrid>
      <w:tr w:rsidR="00B30C60" w:rsidRPr="00381CB1" w:rsidTr="00FC46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rsidR="00B30C60" w:rsidRPr="00381CB1" w:rsidRDefault="00B30C60" w:rsidP="00FC462C">
            <w:pPr>
              <w:rPr>
                <w:rFonts w:ascii="Times New Roman" w:eastAsia="Times New Roman" w:hAnsi="Times New Roman" w:cs="Times New Roman"/>
                <w:color w:val="000000"/>
              </w:rPr>
            </w:pPr>
            <w:r w:rsidRPr="00381CB1">
              <w:rPr>
                <w:rFonts w:ascii="Times New Roman" w:eastAsia="Times New Roman" w:hAnsi="Times New Roman" w:cs="Times New Roman"/>
              </w:rPr>
              <w:t>No</w:t>
            </w:r>
          </w:p>
        </w:tc>
        <w:tc>
          <w:tcPr>
            <w:tcW w:w="1536" w:type="pct"/>
            <w:vMerge w:val="restart"/>
            <w:noWrap/>
            <w:hideMark/>
          </w:tcPr>
          <w:p w:rsidR="00B30C60" w:rsidRPr="00381CB1" w:rsidRDefault="00B30C60" w:rsidP="00FC46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 xml:space="preserve">Ana </w:t>
            </w:r>
            <w:proofErr w:type="spellStart"/>
            <w:r w:rsidRPr="00381CB1">
              <w:rPr>
                <w:rFonts w:ascii="Times New Roman" w:eastAsia="Times New Roman" w:hAnsi="Times New Roman" w:cs="Times New Roman"/>
              </w:rPr>
              <w:t>Harcama</w:t>
            </w:r>
            <w:proofErr w:type="spellEnd"/>
            <w:r w:rsidRPr="00381CB1">
              <w:rPr>
                <w:rFonts w:ascii="Times New Roman" w:eastAsia="Times New Roman" w:hAnsi="Times New Roman" w:cs="Times New Roman"/>
              </w:rPr>
              <w:t xml:space="preserve"> </w:t>
            </w:r>
            <w:proofErr w:type="spellStart"/>
            <w:r w:rsidRPr="00381CB1">
              <w:rPr>
                <w:rFonts w:ascii="Times New Roman" w:eastAsia="Times New Roman" w:hAnsi="Times New Roman" w:cs="Times New Roman"/>
              </w:rPr>
              <w:t>Grupları</w:t>
            </w:r>
            <w:proofErr w:type="spellEnd"/>
          </w:p>
        </w:tc>
        <w:tc>
          <w:tcPr>
            <w:tcW w:w="63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TRB2</w:t>
            </w:r>
          </w:p>
        </w:tc>
        <w:tc>
          <w:tcPr>
            <w:tcW w:w="630"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TR81</w:t>
            </w:r>
          </w:p>
        </w:tc>
        <w:tc>
          <w:tcPr>
            <w:tcW w:w="63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TR1</w:t>
            </w:r>
          </w:p>
        </w:tc>
        <w:tc>
          <w:tcPr>
            <w:tcW w:w="632"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TR31</w:t>
            </w:r>
          </w:p>
        </w:tc>
        <w:tc>
          <w:tcPr>
            <w:tcW w:w="598" w:type="pct"/>
            <w:noWrap/>
            <w:hideMark/>
          </w:tcPr>
          <w:p w:rsidR="00B30C60" w:rsidRPr="00381CB1" w:rsidRDefault="00B30C60" w:rsidP="00FC46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TRC2</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rsidR="00B30C60" w:rsidRPr="00381CB1" w:rsidRDefault="00B30C60" w:rsidP="00FC462C">
            <w:pPr>
              <w:rPr>
                <w:rFonts w:ascii="Times New Roman" w:eastAsia="Times New Roman" w:hAnsi="Times New Roman" w:cs="Times New Roman"/>
                <w:color w:val="000000"/>
              </w:rPr>
            </w:pPr>
          </w:p>
        </w:tc>
        <w:tc>
          <w:tcPr>
            <w:tcW w:w="1536" w:type="pct"/>
            <w:vMerge/>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Van</w:t>
            </w:r>
          </w:p>
        </w:tc>
        <w:tc>
          <w:tcPr>
            <w:tcW w:w="630"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Zongul</w:t>
            </w:r>
            <w:r w:rsidRPr="00381CB1">
              <w:rPr>
                <w:rFonts w:ascii="Times New Roman" w:eastAsia="Times New Roman" w:hAnsi="Times New Roman" w:cs="Times New Roman"/>
                <w:b/>
                <w:bCs/>
              </w:rPr>
              <w:lastRenderedPageBreak/>
              <w:t>dak</w:t>
            </w:r>
            <w:proofErr w:type="spellEnd"/>
          </w:p>
        </w:tc>
        <w:tc>
          <w:tcPr>
            <w:tcW w:w="63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lastRenderedPageBreak/>
              <w:t>İstanbu</w:t>
            </w:r>
            <w:r w:rsidRPr="00381CB1">
              <w:rPr>
                <w:rFonts w:ascii="Times New Roman" w:eastAsia="Times New Roman" w:hAnsi="Times New Roman" w:cs="Times New Roman"/>
                <w:b/>
                <w:bCs/>
              </w:rPr>
              <w:lastRenderedPageBreak/>
              <w:t>l</w:t>
            </w:r>
          </w:p>
        </w:tc>
        <w:tc>
          <w:tcPr>
            <w:tcW w:w="632"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lastRenderedPageBreak/>
              <w:t>İzmir</w:t>
            </w:r>
          </w:p>
        </w:tc>
        <w:tc>
          <w:tcPr>
            <w:tcW w:w="598"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roofErr w:type="spellStart"/>
            <w:r w:rsidRPr="00381CB1">
              <w:rPr>
                <w:rFonts w:ascii="Times New Roman" w:eastAsia="Times New Roman" w:hAnsi="Times New Roman" w:cs="Times New Roman"/>
                <w:b/>
                <w:bCs/>
              </w:rPr>
              <w:t>Şanlıu</w:t>
            </w:r>
            <w:r w:rsidRPr="00381CB1">
              <w:rPr>
                <w:rFonts w:ascii="Times New Roman" w:eastAsia="Times New Roman" w:hAnsi="Times New Roman" w:cs="Times New Roman"/>
                <w:b/>
                <w:bCs/>
              </w:rPr>
              <w:lastRenderedPageBreak/>
              <w:t>rfa</w:t>
            </w:r>
            <w:proofErr w:type="spellEnd"/>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rsidR="00B30C60" w:rsidRPr="00381CB1" w:rsidRDefault="00B30C60" w:rsidP="00FC462C">
            <w:pPr>
              <w:rPr>
                <w:rFonts w:ascii="Times New Roman" w:eastAsia="Times New Roman" w:hAnsi="Times New Roman" w:cs="Times New Roman"/>
                <w:color w:val="000000"/>
              </w:rPr>
            </w:pPr>
          </w:p>
        </w:tc>
        <w:tc>
          <w:tcPr>
            <w:tcW w:w="1536" w:type="pct"/>
            <w:vMerge/>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630"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63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632"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c>
          <w:tcPr>
            <w:tcW w:w="598"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Alt </w:t>
            </w:r>
            <w:proofErr w:type="spellStart"/>
            <w:r w:rsidRPr="00381CB1">
              <w:rPr>
                <w:rFonts w:ascii="Times New Roman" w:eastAsia="Times New Roman" w:hAnsi="Times New Roman" w:cs="Times New Roman"/>
                <w:b/>
                <w:bCs/>
              </w:rPr>
              <w:t>Bölgesi</w:t>
            </w:r>
            <w:proofErr w:type="spellEnd"/>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w:t>
            </w: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(Gıda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Alkolsüz</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İçecekler</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2,17</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0,62</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0,54</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2</w:t>
            </w:r>
          </w:p>
        </w:tc>
        <w:tc>
          <w:tcPr>
            <w:tcW w:w="1536"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Alkollü</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İçecekler</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Tütün</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63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0,19</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0,22</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0,15</w:t>
            </w:r>
          </w:p>
        </w:tc>
        <w:tc>
          <w:tcPr>
            <w:tcW w:w="598"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3</w:t>
            </w: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Giyim</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Ayakkabı</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-6,32</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-6,2</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-2,84</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-7,12</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-3,57</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4</w:t>
            </w:r>
          </w:p>
        </w:tc>
        <w:tc>
          <w:tcPr>
            <w:tcW w:w="1536"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Konut</w:t>
            </w:r>
            <w:proofErr w:type="spellEnd"/>
            <w:r w:rsidRPr="00381CB1">
              <w:rPr>
                <w:rFonts w:ascii="Times New Roman" w:eastAsia="Times New Roman" w:hAnsi="Times New Roman" w:cs="Times New Roman"/>
                <w:b/>
                <w:bCs/>
              </w:rPr>
              <w:t xml:space="preserve">, Su, </w:t>
            </w:r>
            <w:proofErr w:type="spellStart"/>
            <w:r w:rsidRPr="00381CB1">
              <w:rPr>
                <w:rFonts w:ascii="Times New Roman" w:eastAsia="Times New Roman" w:hAnsi="Times New Roman" w:cs="Times New Roman"/>
                <w:b/>
                <w:bCs/>
              </w:rPr>
              <w:t>Elektrik</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Gaz</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Diğer</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Yakıtlar</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-0,28</w:t>
            </w:r>
          </w:p>
        </w:tc>
        <w:tc>
          <w:tcPr>
            <w:tcW w:w="63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0,33</w:t>
            </w:r>
          </w:p>
        </w:tc>
        <w:tc>
          <w:tcPr>
            <w:tcW w:w="598"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5</w:t>
            </w: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Mobilya</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Ev</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Aletleri</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Ev</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Bakım</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Hizmetleri</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-0,65</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0,47</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-0,73</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6</w:t>
            </w:r>
          </w:p>
        </w:tc>
        <w:tc>
          <w:tcPr>
            <w:tcW w:w="1536"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Sağlık</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3,17</w:t>
            </w:r>
          </w:p>
        </w:tc>
        <w:tc>
          <w:tcPr>
            <w:tcW w:w="63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1,98</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1,87</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1,17</w:t>
            </w:r>
          </w:p>
        </w:tc>
        <w:tc>
          <w:tcPr>
            <w:tcW w:w="598"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5,44</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7</w:t>
            </w: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Ulaştırma</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1,05</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0,69</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0,42</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1,06</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8</w:t>
            </w:r>
          </w:p>
        </w:tc>
        <w:tc>
          <w:tcPr>
            <w:tcW w:w="1536"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Haberleşme</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w:t>
            </w:r>
          </w:p>
        </w:tc>
        <w:tc>
          <w:tcPr>
            <w:tcW w:w="63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-0,25</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-0,27</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598"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-1,12</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9</w:t>
            </w: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Eğlence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Kültür</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-0,29</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-0,13</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-0,46</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10</w:t>
            </w:r>
          </w:p>
        </w:tc>
        <w:tc>
          <w:tcPr>
            <w:tcW w:w="1536"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Eğitim</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4,14</w:t>
            </w:r>
          </w:p>
        </w:tc>
        <w:tc>
          <w:tcPr>
            <w:tcW w:w="63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-0,31</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1,13</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3,41</w:t>
            </w:r>
          </w:p>
        </w:tc>
        <w:tc>
          <w:tcPr>
            <w:tcW w:w="598"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11</w:t>
            </w: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Lokanta</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Oteller</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1,01</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1,59</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0,89</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1,64</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1.00</w:t>
            </w:r>
          </w:p>
        </w:tc>
      </w:tr>
      <w:tr w:rsidR="00B30C60" w:rsidRPr="00381CB1" w:rsidTr="00FC462C">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rPr>
            </w:pPr>
            <w:r w:rsidRPr="00381CB1">
              <w:rPr>
                <w:rFonts w:ascii="Times New Roman" w:eastAsia="Times New Roman" w:hAnsi="Times New Roman" w:cs="Times New Roman"/>
              </w:rPr>
              <w:t>12</w:t>
            </w:r>
          </w:p>
        </w:tc>
        <w:tc>
          <w:tcPr>
            <w:tcW w:w="1536" w:type="pct"/>
            <w:noWrap/>
            <w:hideMark/>
          </w:tcPr>
          <w:p w:rsidR="00B30C60" w:rsidRPr="00381CB1" w:rsidRDefault="00B30C60" w:rsidP="00FC46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Çeşitli</w:t>
            </w:r>
            <w:proofErr w:type="spellEnd"/>
            <w:r w:rsidRPr="00381CB1">
              <w:rPr>
                <w:rFonts w:ascii="Times New Roman" w:eastAsia="Times New Roman" w:hAnsi="Times New Roman" w:cs="Times New Roman"/>
                <w:b/>
                <w:bCs/>
              </w:rPr>
              <w:t xml:space="preserve"> Mal </w:t>
            </w:r>
            <w:proofErr w:type="spellStart"/>
            <w:r w:rsidRPr="00381CB1">
              <w:rPr>
                <w:rFonts w:ascii="Times New Roman" w:eastAsia="Times New Roman" w:hAnsi="Times New Roman" w:cs="Times New Roman"/>
                <w:b/>
                <w:bCs/>
              </w:rPr>
              <w:t>Ve</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Hizmetler</w:t>
            </w:r>
            <w:proofErr w:type="spellEnd"/>
            <w:r w:rsidRPr="00381CB1">
              <w:rPr>
                <w:rFonts w:ascii="Times New Roman" w:eastAsia="Times New Roman" w:hAnsi="Times New Roman" w:cs="Times New Roman"/>
                <w:b/>
                <w:bCs/>
              </w:rPr>
              <w:t>)</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-0,31</w:t>
            </w:r>
          </w:p>
        </w:tc>
        <w:tc>
          <w:tcPr>
            <w:tcW w:w="630"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-2,26</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-1,47</w:t>
            </w:r>
          </w:p>
        </w:tc>
        <w:tc>
          <w:tcPr>
            <w:tcW w:w="632"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w:t>
            </w:r>
          </w:p>
        </w:tc>
        <w:tc>
          <w:tcPr>
            <w:tcW w:w="598" w:type="pct"/>
            <w:noWrap/>
            <w:vAlign w:val="bottom"/>
          </w:tcPr>
          <w:p w:rsidR="00B30C60" w:rsidRPr="00381CB1" w:rsidRDefault="00B30C60" w:rsidP="00FC46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-0,85</w:t>
            </w:r>
          </w:p>
        </w:tc>
      </w:tr>
      <w:tr w:rsidR="00B30C60" w:rsidRPr="00381CB1" w:rsidTr="00FC46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B30C60" w:rsidRPr="00381CB1" w:rsidRDefault="00B30C60" w:rsidP="00FC462C">
            <w:pPr>
              <w:rPr>
                <w:rFonts w:ascii="Times New Roman" w:eastAsia="Times New Roman" w:hAnsi="Times New Roman" w:cs="Times New Roman"/>
                <w:color w:val="000000"/>
              </w:rPr>
            </w:pPr>
          </w:p>
        </w:tc>
        <w:tc>
          <w:tcPr>
            <w:tcW w:w="1536" w:type="pct"/>
            <w:noWrap/>
            <w:hideMark/>
          </w:tcPr>
          <w:p w:rsidR="00B30C60" w:rsidRPr="00381CB1" w:rsidRDefault="00B30C60" w:rsidP="00FC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TÜFE </w:t>
            </w:r>
            <w:proofErr w:type="spellStart"/>
            <w:r w:rsidRPr="00381CB1">
              <w:rPr>
                <w:rFonts w:ascii="Times New Roman" w:eastAsia="Times New Roman" w:hAnsi="Times New Roman" w:cs="Times New Roman"/>
                <w:b/>
                <w:bCs/>
              </w:rPr>
              <w:t>Aylık</w:t>
            </w:r>
            <w:proofErr w:type="spellEnd"/>
            <w:r w:rsidRPr="00381CB1">
              <w:rPr>
                <w:rFonts w:ascii="Times New Roman" w:eastAsia="Times New Roman" w:hAnsi="Times New Roman" w:cs="Times New Roman"/>
                <w:b/>
                <w:bCs/>
              </w:rPr>
              <w:t xml:space="preserve"> </w:t>
            </w:r>
            <w:proofErr w:type="spellStart"/>
            <w:r w:rsidRPr="00381CB1">
              <w:rPr>
                <w:rFonts w:ascii="Times New Roman" w:eastAsia="Times New Roman" w:hAnsi="Times New Roman" w:cs="Times New Roman"/>
                <w:b/>
                <w:bCs/>
              </w:rPr>
              <w:t>Değişim</w:t>
            </w:r>
            <w:proofErr w:type="spellEnd"/>
            <w:r w:rsidRPr="00381CB1">
              <w:rPr>
                <w:rFonts w:ascii="Times New Roman" w:eastAsia="Times New Roman" w:hAnsi="Times New Roman" w:cs="Times New Roman"/>
                <w:b/>
                <w:bCs/>
              </w:rPr>
              <w:t xml:space="preserve"> </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0,29</w:t>
            </w:r>
          </w:p>
        </w:tc>
        <w:tc>
          <w:tcPr>
            <w:tcW w:w="630"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632"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0,11</w:t>
            </w:r>
          </w:p>
        </w:tc>
        <w:tc>
          <w:tcPr>
            <w:tcW w:w="598" w:type="pct"/>
            <w:noWrap/>
            <w:vAlign w:val="bottom"/>
          </w:tcPr>
          <w:p w:rsidR="00B30C60" w:rsidRPr="00381CB1" w:rsidRDefault="00B30C60" w:rsidP="00FC46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-0,02</w:t>
            </w:r>
          </w:p>
        </w:tc>
      </w:tr>
    </w:tbl>
    <w:p w:rsidR="00B30C60" w:rsidRPr="00926F30" w:rsidRDefault="00B30C60" w:rsidP="00B30C60">
      <w:pPr>
        <w:rPr>
          <w:rFonts w:ascii="Times New Roman" w:hAnsi="Times New Roman" w:cs="Times New Roman"/>
          <w:b/>
          <w:sz w:val="16"/>
          <w:szCs w:val="14"/>
        </w:rPr>
      </w:pPr>
    </w:p>
    <w:p w:rsidR="00B30C60" w:rsidRDefault="00B30C60"/>
    <w:p w:rsidR="00703A47" w:rsidRDefault="00703A47"/>
    <w:p w:rsidR="00703A47" w:rsidRDefault="00703A47"/>
    <w:p w:rsidR="00703A47" w:rsidRDefault="00703A47"/>
    <w:p w:rsidR="00703A47" w:rsidRDefault="00703A47"/>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962"/>
        <w:gridCol w:w="4014"/>
      </w:tblGrid>
      <w:tr w:rsidR="00703A47" w:rsidRPr="00926F30" w:rsidTr="00616629">
        <w:trPr>
          <w:trHeight w:val="915"/>
        </w:trPr>
        <w:tc>
          <w:tcPr>
            <w:tcW w:w="5003" w:type="dxa"/>
            <w:vAlign w:val="center"/>
          </w:tcPr>
          <w:p w:rsidR="00703A47" w:rsidRPr="00926F30" w:rsidRDefault="00703A47" w:rsidP="00616629">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 xml:space="preserve">2019 </w:t>
            </w:r>
            <w:r>
              <w:rPr>
                <w:rFonts w:ascii="Times New Roman" w:eastAsiaTheme="majorEastAsia" w:hAnsi="Times New Roman" w:cs="Times New Roman"/>
                <w:sz w:val="36"/>
                <w:szCs w:val="36"/>
              </w:rPr>
              <w:t>Şubat</w:t>
            </w:r>
          </w:p>
          <w:p w:rsidR="00703A47" w:rsidRPr="00926F30" w:rsidRDefault="00703A47" w:rsidP="00616629">
            <w:pPr>
              <w:pStyle w:val="stbilgi"/>
              <w:jc w:val="right"/>
              <w:rPr>
                <w:rFonts w:ascii="Times New Roman" w:eastAsiaTheme="majorEastAsia" w:hAnsi="Times New Roman" w:cs="Times New Roman"/>
                <w:sz w:val="36"/>
                <w:szCs w:val="36"/>
              </w:rPr>
            </w:pPr>
            <w:r>
              <w:rPr>
                <w:rFonts w:ascii="Times New Roman" w:eastAsiaTheme="majorEastAsia" w:hAnsi="Times New Roman" w:cs="Times New Roman"/>
                <w:sz w:val="36"/>
                <w:szCs w:val="36"/>
              </w:rPr>
              <w:t>PERAKENDE GÜVENİ</w:t>
            </w:r>
          </w:p>
        </w:tc>
        <w:tc>
          <w:tcPr>
            <w:tcW w:w="4074" w:type="dxa"/>
          </w:tcPr>
          <w:p w:rsidR="00703A47" w:rsidRPr="00926F30" w:rsidRDefault="00703A47" w:rsidP="00616629">
            <w:pPr>
              <w:pStyle w:val="stbilgi"/>
              <w:spacing w:line="276" w:lineRule="auto"/>
              <w:jc w:val="center"/>
              <w:rPr>
                <w:rFonts w:ascii="Times New Roman" w:eastAsiaTheme="majorEastAsia" w:hAnsi="Times New Roman" w:cs="Times New Roman"/>
                <w:b/>
                <w:bCs/>
                <w:color w:val="5B9BD5" w:themeColor="accent1"/>
                <w:sz w:val="36"/>
                <w:szCs w:val="36"/>
              </w:rPr>
            </w:pPr>
            <w:r w:rsidRPr="00926F30">
              <w:rPr>
                <w:rFonts w:ascii="Times New Roman" w:eastAsiaTheme="majorEastAsia" w:hAnsi="Times New Roman" w:cs="Times New Roman"/>
                <w:bCs/>
                <w:sz w:val="28"/>
                <w:szCs w:val="36"/>
              </w:rPr>
              <w:t xml:space="preserve">             </w:t>
            </w:r>
          </w:p>
        </w:tc>
      </w:tr>
    </w:tbl>
    <w:p w:rsidR="00703A47" w:rsidRDefault="00703A47"/>
    <w:p w:rsidR="00CE79C1" w:rsidRDefault="00CE79C1" w:rsidP="00703A47">
      <w:pPr>
        <w:pStyle w:val="Balk2"/>
        <w:spacing w:line="240" w:lineRule="auto"/>
        <w:jc w:val="both"/>
        <w:rPr>
          <w:rFonts w:asciiTheme="minorHAnsi" w:hAnsiTheme="minorHAnsi" w:cs="Arial"/>
          <w:b w:val="0"/>
          <w:color w:val="000000" w:themeColor="text1"/>
          <w:sz w:val="24"/>
        </w:rPr>
      </w:pPr>
      <w:r>
        <w:rPr>
          <w:rFonts w:asciiTheme="minorHAnsi" w:hAnsiTheme="minorHAnsi" w:cs="Arial"/>
          <w:b w:val="0"/>
          <w:color w:val="000000" w:themeColor="text1"/>
          <w:sz w:val="24"/>
        </w:rPr>
        <w:t>Perakende güveni, geçen aya göre arttığı halde geçen yıla göre azaldığı belirlenmiştir.</w:t>
      </w:r>
    </w:p>
    <w:p w:rsidR="00703A47" w:rsidRPr="000545D1" w:rsidRDefault="00703A47" w:rsidP="00703A47">
      <w:pPr>
        <w:pStyle w:val="Balk2"/>
        <w:spacing w:line="240" w:lineRule="auto"/>
        <w:jc w:val="both"/>
        <w:rPr>
          <w:rFonts w:asciiTheme="minorHAnsi" w:hAnsiTheme="minorHAnsi" w:cs="Arial"/>
          <w:b w:val="0"/>
          <w:color w:val="000000" w:themeColor="text1"/>
          <w:sz w:val="24"/>
        </w:rPr>
      </w:pPr>
      <w:r>
        <w:rPr>
          <w:rFonts w:asciiTheme="minorHAnsi" w:hAnsiTheme="minorHAnsi" w:cs="Arial"/>
          <w:b w:val="0"/>
          <w:color w:val="000000" w:themeColor="text1"/>
          <w:sz w:val="24"/>
        </w:rPr>
        <w:t>2019</w:t>
      </w:r>
      <w:r w:rsidRPr="007945C8">
        <w:rPr>
          <w:rFonts w:asciiTheme="minorHAnsi" w:hAnsiTheme="minorHAnsi" w:cs="Arial"/>
          <w:b w:val="0"/>
          <w:color w:val="000000" w:themeColor="text1"/>
          <w:sz w:val="24"/>
        </w:rPr>
        <w:t xml:space="preserve"> yıl</w:t>
      </w:r>
      <w:r>
        <w:rPr>
          <w:rFonts w:asciiTheme="minorHAnsi" w:hAnsiTheme="minorHAnsi" w:cs="Arial"/>
          <w:b w:val="0"/>
          <w:color w:val="000000" w:themeColor="text1"/>
          <w:sz w:val="24"/>
        </w:rPr>
        <w:t>ının ilk üç ayını ortalama -18,6</w:t>
      </w:r>
      <w:r w:rsidRPr="007945C8">
        <w:rPr>
          <w:rFonts w:asciiTheme="minorHAnsi" w:hAnsiTheme="minorHAnsi" w:cs="Arial"/>
          <w:b w:val="0"/>
          <w:color w:val="000000" w:themeColor="text1"/>
          <w:sz w:val="24"/>
        </w:rPr>
        <w:t xml:space="preserve"> puan s</w:t>
      </w:r>
      <w:r>
        <w:rPr>
          <w:rFonts w:asciiTheme="minorHAnsi" w:hAnsiTheme="minorHAnsi" w:cs="Arial"/>
          <w:b w:val="0"/>
          <w:color w:val="000000" w:themeColor="text1"/>
          <w:sz w:val="24"/>
        </w:rPr>
        <w:t>eviyesinde tamamlayan TEPE, 2018</w:t>
      </w:r>
      <w:r w:rsidRPr="007945C8">
        <w:rPr>
          <w:rFonts w:asciiTheme="minorHAnsi" w:hAnsiTheme="minorHAnsi" w:cs="Arial"/>
          <w:b w:val="0"/>
          <w:color w:val="000000" w:themeColor="text1"/>
          <w:sz w:val="24"/>
        </w:rPr>
        <w:t xml:space="preserve"> yılının ilk üç ayındaki seviyesine (-1</w:t>
      </w:r>
      <w:r>
        <w:rPr>
          <w:rFonts w:asciiTheme="minorHAnsi" w:hAnsiTheme="minorHAnsi" w:cs="Arial"/>
          <w:b w:val="0"/>
          <w:color w:val="000000" w:themeColor="text1"/>
          <w:sz w:val="24"/>
        </w:rPr>
        <w:t>1,4) kıyasla düşüş</w:t>
      </w:r>
      <w:r w:rsidRPr="007945C8">
        <w:rPr>
          <w:rFonts w:asciiTheme="minorHAnsi" w:hAnsiTheme="minorHAnsi" w:cs="Arial"/>
          <w:b w:val="0"/>
          <w:color w:val="000000" w:themeColor="text1"/>
          <w:sz w:val="24"/>
        </w:rPr>
        <w:t xml:space="preserve"> gösterdi.</w:t>
      </w:r>
      <w:r>
        <w:rPr>
          <w:rFonts w:asciiTheme="minorHAnsi" w:hAnsiTheme="minorHAnsi" w:cs="Arial"/>
          <w:b w:val="0"/>
          <w:color w:val="000000" w:themeColor="text1"/>
          <w:sz w:val="24"/>
        </w:rPr>
        <w:t xml:space="preserve"> </w:t>
      </w:r>
      <w:r w:rsidRPr="000545D1">
        <w:rPr>
          <w:rFonts w:asciiTheme="minorHAnsi" w:hAnsiTheme="minorHAnsi" w:cs="Arial"/>
          <w:b w:val="0"/>
          <w:color w:val="000000" w:themeColor="text1"/>
          <w:sz w:val="24"/>
        </w:rPr>
        <w:t>Perakende güveni, Mart ayında bir önceki aya göre 6,7 puan artarken, bir önceki yılın aynı dönemine göre 2,5 puan azaldı. Perakende güveninin geçen aya göre artışında, geçtiğimiz 3 ayda işlerin gelişimi ve önümüzdeki 3 ayda satış beklentilerindeki artış etkili oldu. “</w:t>
      </w:r>
      <w:r>
        <w:rPr>
          <w:rFonts w:asciiTheme="minorHAnsi" w:hAnsiTheme="minorHAnsi" w:cs="Arial"/>
          <w:b w:val="0"/>
          <w:color w:val="000000" w:themeColor="text1"/>
          <w:sz w:val="24"/>
        </w:rPr>
        <w:t>B</w:t>
      </w:r>
      <w:r w:rsidRPr="000545D1">
        <w:rPr>
          <w:rFonts w:asciiTheme="minorHAnsi" w:hAnsiTheme="minorHAnsi" w:cs="Arial"/>
          <w:b w:val="0"/>
          <w:color w:val="000000" w:themeColor="text1"/>
          <w:sz w:val="24"/>
        </w:rPr>
        <w:t>irden fazla türde ürün satan bakkal, market ve büyük mağazalar” sektörü, Mart ayında perakende güveninde en fazla artış gösteren sektör oldu. AB-28 ve Euro Bölgesi ile karşılaştırıldığında Türkiye,</w:t>
      </w:r>
      <w:r w:rsidRPr="000545D1">
        <w:t xml:space="preserve"> </w:t>
      </w:r>
      <w:r w:rsidRPr="000545D1">
        <w:rPr>
          <w:rFonts w:asciiTheme="minorHAnsi" w:hAnsiTheme="minorHAnsi" w:cs="Arial"/>
          <w:b w:val="0"/>
          <w:color w:val="000000" w:themeColor="text1"/>
          <w:sz w:val="24"/>
        </w:rPr>
        <w:t>geçen yıla göre AB-28 ve Euro Bölgesi’nden daha kötü performans sergiledi.</w:t>
      </w:r>
    </w:p>
    <w:p w:rsidR="00703A47" w:rsidRPr="000545D1" w:rsidRDefault="00703A47" w:rsidP="00703A47">
      <w:pPr>
        <w:pStyle w:val="Balk2"/>
        <w:spacing w:line="240" w:lineRule="auto"/>
        <w:jc w:val="both"/>
        <w:rPr>
          <w:rFonts w:asciiTheme="minorHAnsi" w:hAnsiTheme="minorHAnsi" w:cs="Arial"/>
          <w:color w:val="0070C0"/>
          <w:sz w:val="28"/>
        </w:rPr>
      </w:pPr>
      <w:r w:rsidRPr="000545D1">
        <w:rPr>
          <w:rFonts w:asciiTheme="minorHAnsi" w:hAnsiTheme="minorHAnsi" w:cs="Arial"/>
          <w:color w:val="0070C0"/>
          <w:sz w:val="28"/>
        </w:rPr>
        <w:t>Perakende güveni geçen aya kıyasla arttı</w:t>
      </w:r>
    </w:p>
    <w:p w:rsidR="00703A47" w:rsidRPr="0089439F" w:rsidRDefault="00703A47" w:rsidP="00703A47">
      <w:pPr>
        <w:pStyle w:val="Balk2"/>
        <w:spacing w:before="0" w:line="240" w:lineRule="atLeast"/>
        <w:jc w:val="both"/>
        <w:rPr>
          <w:rFonts w:asciiTheme="minorHAnsi" w:hAnsiTheme="minorHAnsi" w:cs="Arial"/>
          <w:b w:val="0"/>
          <w:color w:val="0070C0"/>
          <w:sz w:val="24"/>
        </w:rPr>
      </w:pPr>
      <w:r w:rsidRPr="000545D1">
        <w:rPr>
          <w:rFonts w:asciiTheme="minorHAnsi" w:hAnsiTheme="minorHAnsi" w:cs="Arial"/>
          <w:b w:val="0"/>
          <w:color w:val="0070C0"/>
          <w:sz w:val="24"/>
        </w:rPr>
        <w:t>Mart ayında -15 puan değerini alan TEPE, geçen yılın aynı dönemine göre 2,5 puan azalırken, geçen aya göre 6,7 puan arttı. TEPE değerinin geçen aya göre artmasında geçtiğimiz 3 ayda işlerin gelişimi ve önümüzdeki 3 ayda satış beklentisi göstergelerindeki artış etkili oldu.</w:t>
      </w:r>
    </w:p>
    <w:p w:rsidR="00703A47" w:rsidRDefault="00703A47" w:rsidP="00703A47">
      <w:pPr>
        <w:tabs>
          <w:tab w:val="left" w:pos="8258"/>
        </w:tabs>
        <w:spacing w:after="0" w:line="240" w:lineRule="atLeast"/>
      </w:pPr>
      <w:r w:rsidRPr="00662EBC">
        <w:rPr>
          <w:b/>
        </w:rPr>
        <w:t>Şekil-</w:t>
      </w:r>
      <w:r>
        <w:rPr>
          <w:b/>
        </w:rPr>
        <w:t>1</w:t>
      </w:r>
      <w:r w:rsidRPr="00662EBC">
        <w:rPr>
          <w:b/>
        </w:rPr>
        <w:t>.</w:t>
      </w:r>
      <w:r w:rsidRPr="00662EBC">
        <w:t xml:space="preserve"> TEPE (</w:t>
      </w:r>
      <w:r>
        <w:t>Mart 2018</w:t>
      </w:r>
      <w:r w:rsidRPr="00662EBC">
        <w:t xml:space="preserve"> –</w:t>
      </w:r>
      <w:r>
        <w:t xml:space="preserve"> Mart 2019</w:t>
      </w:r>
      <w:r w:rsidRPr="00662EBC">
        <w:t>)</w:t>
      </w:r>
      <w:r>
        <w:rPr>
          <w:rStyle w:val="DipnotBavurusu"/>
        </w:rPr>
        <w:footnoteReference w:id="1"/>
      </w:r>
      <w:r w:rsidRPr="00BF4AF3">
        <w:rPr>
          <w:noProof/>
        </w:rPr>
        <w:t xml:space="preserve"> </w:t>
      </w:r>
      <w:r>
        <w:rPr>
          <w:noProof/>
        </w:rPr>
        <w:drawing>
          <wp:inline distT="0" distB="0" distL="0" distR="0" wp14:anchorId="450EEF61" wp14:editId="690248BB">
            <wp:extent cx="5759450" cy="2584369"/>
            <wp:effectExtent l="0" t="0" r="12700" b="2603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03A47" w:rsidRPr="003127E7" w:rsidRDefault="00703A47" w:rsidP="00703A47">
      <w:pPr>
        <w:tabs>
          <w:tab w:val="left" w:pos="8258"/>
        </w:tabs>
        <w:spacing w:before="240" w:after="0" w:line="240" w:lineRule="auto"/>
        <w:jc w:val="both"/>
      </w:pPr>
      <w:r w:rsidRPr="00662EBC">
        <w:rPr>
          <w:b/>
        </w:rPr>
        <w:t>Tablo-1.</w:t>
      </w:r>
      <w:r>
        <w:t xml:space="preserve"> TEPE, Aylık Seri</w:t>
      </w:r>
    </w:p>
    <w:tbl>
      <w:tblPr>
        <w:tblStyle w:val="OrtaKlavuz3-Vurgu1"/>
        <w:tblW w:w="10475" w:type="dxa"/>
        <w:jc w:val="center"/>
        <w:tblLook w:val="04A0" w:firstRow="1" w:lastRow="0" w:firstColumn="1" w:lastColumn="0" w:noHBand="0" w:noVBand="1"/>
      </w:tblPr>
      <w:tblGrid>
        <w:gridCol w:w="680"/>
        <w:gridCol w:w="705"/>
        <w:gridCol w:w="806"/>
        <w:gridCol w:w="691"/>
        <w:gridCol w:w="777"/>
        <w:gridCol w:w="789"/>
        <w:gridCol w:w="950"/>
        <w:gridCol w:w="1038"/>
        <w:gridCol w:w="1027"/>
        <w:gridCol w:w="713"/>
        <w:gridCol w:w="713"/>
        <w:gridCol w:w="832"/>
        <w:gridCol w:w="754"/>
      </w:tblGrid>
      <w:tr w:rsidR="00703A47" w:rsidRPr="003127E7" w:rsidTr="0061662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703A47" w:rsidRPr="003127E7" w:rsidRDefault="00703A47" w:rsidP="00616629">
            <w:pPr>
              <w:spacing w:after="0" w:line="240" w:lineRule="auto"/>
              <w:jc w:val="center"/>
              <w:rPr>
                <w:rFonts w:asciiTheme="minorHAnsi" w:eastAsia="Times New Roman" w:hAnsiTheme="minorHAnsi" w:cs="Arial"/>
                <w:bCs w:val="0"/>
                <w:color w:val="000000" w:themeColor="text1"/>
              </w:rPr>
            </w:pPr>
          </w:p>
        </w:tc>
        <w:tc>
          <w:tcPr>
            <w:tcW w:w="705"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Ocak</w:t>
            </w:r>
          </w:p>
        </w:tc>
        <w:tc>
          <w:tcPr>
            <w:tcW w:w="806"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Şubat</w:t>
            </w:r>
          </w:p>
        </w:tc>
        <w:tc>
          <w:tcPr>
            <w:tcW w:w="691"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Mart</w:t>
            </w:r>
          </w:p>
        </w:tc>
        <w:tc>
          <w:tcPr>
            <w:tcW w:w="777"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Nisan</w:t>
            </w:r>
          </w:p>
        </w:tc>
        <w:tc>
          <w:tcPr>
            <w:tcW w:w="789"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Mayıs</w:t>
            </w:r>
          </w:p>
        </w:tc>
        <w:tc>
          <w:tcPr>
            <w:tcW w:w="950"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Haziran</w:t>
            </w:r>
          </w:p>
        </w:tc>
        <w:tc>
          <w:tcPr>
            <w:tcW w:w="1038"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Temmuz</w:t>
            </w:r>
          </w:p>
        </w:tc>
        <w:tc>
          <w:tcPr>
            <w:tcW w:w="1027"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Ağustos</w:t>
            </w:r>
          </w:p>
        </w:tc>
        <w:tc>
          <w:tcPr>
            <w:tcW w:w="713"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Eylül</w:t>
            </w:r>
          </w:p>
        </w:tc>
        <w:tc>
          <w:tcPr>
            <w:tcW w:w="713"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Ekim</w:t>
            </w:r>
          </w:p>
        </w:tc>
        <w:tc>
          <w:tcPr>
            <w:tcW w:w="832"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Kasım</w:t>
            </w:r>
          </w:p>
        </w:tc>
        <w:tc>
          <w:tcPr>
            <w:tcW w:w="754"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Aralık</w:t>
            </w:r>
          </w:p>
        </w:tc>
      </w:tr>
      <w:tr w:rsidR="00703A47" w:rsidRPr="005430E8" w:rsidTr="0061662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703A47" w:rsidRPr="003127E7" w:rsidRDefault="00703A47" w:rsidP="00616629">
            <w:pPr>
              <w:spacing w:after="0" w:line="240" w:lineRule="auto"/>
              <w:jc w:val="center"/>
              <w:rPr>
                <w:rFonts w:asciiTheme="minorHAnsi" w:eastAsia="Times New Roman" w:hAnsiTheme="minorHAnsi" w:cs="Arial"/>
                <w:color w:val="000000"/>
              </w:rPr>
            </w:pPr>
            <w:r>
              <w:rPr>
                <w:rFonts w:asciiTheme="minorHAnsi" w:eastAsia="Times New Roman" w:hAnsiTheme="minorHAnsi" w:cs="Arial"/>
                <w:color w:val="000000"/>
              </w:rPr>
              <w:t>2017</w:t>
            </w:r>
          </w:p>
        </w:tc>
        <w:tc>
          <w:tcPr>
            <w:tcW w:w="705"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-15,3</w:t>
            </w:r>
          </w:p>
        </w:tc>
        <w:tc>
          <w:tcPr>
            <w:tcW w:w="806"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-23,6</w:t>
            </w:r>
          </w:p>
        </w:tc>
        <w:tc>
          <w:tcPr>
            <w:tcW w:w="691"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-18,2</w:t>
            </w:r>
          </w:p>
        </w:tc>
        <w:tc>
          <w:tcPr>
            <w:tcW w:w="777"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-19,2</w:t>
            </w:r>
          </w:p>
        </w:tc>
        <w:tc>
          <w:tcPr>
            <w:tcW w:w="789"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-15,1</w:t>
            </w:r>
          </w:p>
        </w:tc>
        <w:tc>
          <w:tcPr>
            <w:tcW w:w="950"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-16,0</w:t>
            </w:r>
          </w:p>
        </w:tc>
        <w:tc>
          <w:tcPr>
            <w:tcW w:w="1038"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-21,0</w:t>
            </w:r>
          </w:p>
        </w:tc>
        <w:tc>
          <w:tcPr>
            <w:tcW w:w="1027"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-17,4</w:t>
            </w:r>
          </w:p>
        </w:tc>
        <w:tc>
          <w:tcPr>
            <w:tcW w:w="713"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-17,1</w:t>
            </w:r>
          </w:p>
        </w:tc>
        <w:tc>
          <w:tcPr>
            <w:tcW w:w="713"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-13,2</w:t>
            </w:r>
          </w:p>
        </w:tc>
        <w:tc>
          <w:tcPr>
            <w:tcW w:w="832"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-15,5</w:t>
            </w:r>
          </w:p>
        </w:tc>
        <w:tc>
          <w:tcPr>
            <w:tcW w:w="754"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-13,8</w:t>
            </w:r>
          </w:p>
        </w:tc>
      </w:tr>
      <w:tr w:rsidR="00703A47" w:rsidRPr="00AD7D54" w:rsidTr="00616629">
        <w:trPr>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703A47" w:rsidRDefault="00703A47" w:rsidP="00616629">
            <w:pPr>
              <w:spacing w:after="0" w:line="240" w:lineRule="auto"/>
              <w:jc w:val="center"/>
              <w:rPr>
                <w:rFonts w:asciiTheme="minorHAnsi" w:eastAsia="Times New Roman" w:hAnsiTheme="minorHAnsi" w:cs="Arial"/>
                <w:color w:val="000000"/>
              </w:rPr>
            </w:pPr>
            <w:r>
              <w:rPr>
                <w:rFonts w:asciiTheme="minorHAnsi" w:eastAsia="Times New Roman" w:hAnsiTheme="minorHAnsi" w:cs="Arial"/>
                <w:color w:val="000000"/>
              </w:rPr>
              <w:t>2018</w:t>
            </w:r>
          </w:p>
        </w:tc>
        <w:tc>
          <w:tcPr>
            <w:tcW w:w="705"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-14,3</w:t>
            </w:r>
          </w:p>
        </w:tc>
        <w:tc>
          <w:tcPr>
            <w:tcW w:w="806"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-7,5</w:t>
            </w:r>
          </w:p>
        </w:tc>
        <w:tc>
          <w:tcPr>
            <w:tcW w:w="691"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-12,5</w:t>
            </w:r>
          </w:p>
        </w:tc>
        <w:tc>
          <w:tcPr>
            <w:tcW w:w="777"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-16,8</w:t>
            </w:r>
          </w:p>
        </w:tc>
        <w:tc>
          <w:tcPr>
            <w:tcW w:w="789"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-17,0</w:t>
            </w:r>
          </w:p>
        </w:tc>
        <w:tc>
          <w:tcPr>
            <w:tcW w:w="950"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-14,1</w:t>
            </w:r>
          </w:p>
        </w:tc>
        <w:tc>
          <w:tcPr>
            <w:tcW w:w="1038"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-11,5</w:t>
            </w:r>
          </w:p>
        </w:tc>
        <w:tc>
          <w:tcPr>
            <w:tcW w:w="1027"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-15,9</w:t>
            </w:r>
          </w:p>
        </w:tc>
        <w:tc>
          <w:tcPr>
            <w:tcW w:w="713"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-16,3</w:t>
            </w:r>
          </w:p>
        </w:tc>
        <w:tc>
          <w:tcPr>
            <w:tcW w:w="713"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-16,8</w:t>
            </w:r>
          </w:p>
        </w:tc>
        <w:tc>
          <w:tcPr>
            <w:tcW w:w="832"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-17,7</w:t>
            </w:r>
          </w:p>
        </w:tc>
        <w:tc>
          <w:tcPr>
            <w:tcW w:w="754" w:type="dxa"/>
            <w:noWrap/>
            <w:vAlign w:val="bottom"/>
          </w:tcPr>
          <w:p w:rsidR="00703A47" w:rsidRDefault="00703A47" w:rsidP="0061662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-5,4</w:t>
            </w:r>
          </w:p>
        </w:tc>
      </w:tr>
      <w:tr w:rsidR="00703A47" w:rsidRPr="002A04C6" w:rsidTr="0061662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703A47" w:rsidRDefault="00703A47" w:rsidP="00616629">
            <w:pPr>
              <w:spacing w:after="0" w:line="240" w:lineRule="auto"/>
              <w:jc w:val="right"/>
              <w:rPr>
                <w:rFonts w:asciiTheme="minorHAnsi" w:eastAsia="Times New Roman" w:hAnsiTheme="minorHAnsi" w:cs="Arial"/>
                <w:color w:val="000000"/>
              </w:rPr>
            </w:pPr>
            <w:r>
              <w:rPr>
                <w:rFonts w:asciiTheme="minorHAnsi" w:eastAsia="Times New Roman" w:hAnsiTheme="minorHAnsi" w:cs="Arial"/>
                <w:color w:val="000000"/>
              </w:rPr>
              <w:t>2019</w:t>
            </w:r>
          </w:p>
        </w:tc>
        <w:tc>
          <w:tcPr>
            <w:tcW w:w="705"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-19,0</w:t>
            </w:r>
          </w:p>
        </w:tc>
        <w:tc>
          <w:tcPr>
            <w:tcW w:w="806"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-21,7</w:t>
            </w:r>
          </w:p>
        </w:tc>
        <w:tc>
          <w:tcPr>
            <w:tcW w:w="691"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-15,0</w:t>
            </w:r>
          </w:p>
        </w:tc>
        <w:tc>
          <w:tcPr>
            <w:tcW w:w="777" w:type="dxa"/>
            <w:noWrap/>
            <w:vAlign w:val="bottom"/>
          </w:tcPr>
          <w:p w:rsidR="00703A47"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89"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950"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38"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27"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13"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13"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32" w:type="dxa"/>
            <w:noWrap/>
            <w:vAlign w:val="bottom"/>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54" w:type="dxa"/>
            <w:noWrap/>
            <w:vAlign w:val="center"/>
          </w:tcPr>
          <w:p w:rsidR="00703A47" w:rsidRPr="004936AA" w:rsidRDefault="00703A47" w:rsidP="006166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r>
    </w:tbl>
    <w:p w:rsidR="00703A47" w:rsidRDefault="00703A47" w:rsidP="00703A47">
      <w:pPr>
        <w:spacing w:after="0" w:line="240" w:lineRule="auto"/>
        <w:jc w:val="right"/>
        <w:rPr>
          <w:rFonts w:eastAsia="Times New Roman" w:cs="Arial"/>
          <w:color w:val="000000"/>
          <w:szCs w:val="20"/>
        </w:rPr>
      </w:pPr>
      <w:r w:rsidRPr="002A04C6">
        <w:rPr>
          <w:rFonts w:eastAsia="Times New Roman" w:cs="Arial"/>
          <w:color w:val="000000"/>
          <w:szCs w:val="20"/>
        </w:rPr>
        <w:tab/>
      </w:r>
    </w:p>
    <w:p w:rsidR="00703A47" w:rsidRDefault="00703A47" w:rsidP="00703A47">
      <w:pPr>
        <w:pStyle w:val="Balk2"/>
        <w:spacing w:before="0"/>
        <w:jc w:val="both"/>
        <w:rPr>
          <w:rFonts w:asciiTheme="minorHAnsi" w:hAnsiTheme="minorHAnsi" w:cs="Arial"/>
          <w:color w:val="0070C0"/>
          <w:sz w:val="28"/>
        </w:rPr>
      </w:pPr>
    </w:p>
    <w:p w:rsidR="00703A47" w:rsidRPr="003C775C" w:rsidRDefault="00703A47" w:rsidP="00703A47">
      <w:pPr>
        <w:pStyle w:val="Balk2"/>
        <w:spacing w:before="0"/>
        <w:jc w:val="both"/>
        <w:rPr>
          <w:rFonts w:asciiTheme="minorHAnsi" w:hAnsiTheme="minorHAnsi" w:cs="Arial"/>
          <w:color w:val="0070C0"/>
          <w:sz w:val="28"/>
        </w:rPr>
      </w:pPr>
      <w:r w:rsidRPr="003C775C">
        <w:rPr>
          <w:rFonts w:asciiTheme="minorHAnsi" w:hAnsiTheme="minorHAnsi" w:cs="Arial"/>
          <w:color w:val="0070C0"/>
          <w:sz w:val="28"/>
        </w:rPr>
        <w:t>Perakendecilerin satış beklentileri geçen aya göre arttı</w:t>
      </w:r>
    </w:p>
    <w:p w:rsidR="00703A47" w:rsidRPr="00487F7E" w:rsidRDefault="00703A47" w:rsidP="00703A47">
      <w:pPr>
        <w:pStyle w:val="Balk2"/>
        <w:spacing w:before="0"/>
        <w:jc w:val="both"/>
        <w:rPr>
          <w:rFonts w:asciiTheme="minorHAnsi" w:hAnsiTheme="minorHAnsi" w:cs="Arial"/>
          <w:b w:val="0"/>
          <w:color w:val="auto"/>
          <w:sz w:val="24"/>
        </w:rPr>
      </w:pPr>
      <w:r w:rsidRPr="00487F7E">
        <w:rPr>
          <w:rFonts w:asciiTheme="minorHAnsi" w:hAnsiTheme="minorHAnsi" w:cs="Arial"/>
          <w:b w:val="0"/>
          <w:color w:val="auto"/>
          <w:sz w:val="24"/>
        </w:rPr>
        <w:t xml:space="preserve">Önümüzdeki 3 aya ilişkin satış beklentilerinin denge değeri Mart 2019’da -11,2 puan oldu. Buna göre önümüzdeki 3 aya ilişkin satış beklentileri, bir önceki aya göre 16,1 puan artarken, bir önceki yılın aynı ayına göre 6,1 puan azaldı. </w:t>
      </w:r>
    </w:p>
    <w:p w:rsidR="00703A47" w:rsidRPr="002F1F5C" w:rsidRDefault="00703A47" w:rsidP="00703A47">
      <w:pPr>
        <w:pStyle w:val="Balk2"/>
        <w:spacing w:before="0"/>
        <w:jc w:val="both"/>
        <w:rPr>
          <w:rFonts w:ascii="Calibri" w:eastAsia="Calibri" w:hAnsi="Calibri"/>
          <w:b w:val="0"/>
          <w:bCs w:val="0"/>
          <w:color w:val="auto"/>
          <w:sz w:val="22"/>
          <w:szCs w:val="22"/>
          <w:highlight w:val="yellow"/>
        </w:rPr>
      </w:pPr>
    </w:p>
    <w:p w:rsidR="00703A47" w:rsidRPr="00487F7E" w:rsidRDefault="00703A47" w:rsidP="00703A47">
      <w:pPr>
        <w:pStyle w:val="Balk2"/>
        <w:spacing w:before="0"/>
        <w:jc w:val="both"/>
        <w:rPr>
          <w:rFonts w:asciiTheme="minorHAnsi" w:hAnsiTheme="minorHAnsi" w:cs="Arial"/>
          <w:b w:val="0"/>
          <w:color w:val="auto"/>
          <w:sz w:val="24"/>
        </w:rPr>
      </w:pPr>
      <w:r w:rsidRPr="00487F7E">
        <w:rPr>
          <w:rFonts w:asciiTheme="minorHAnsi" w:hAnsiTheme="minorHAnsi" w:cs="Arial"/>
          <w:b w:val="0"/>
          <w:color w:val="auto"/>
          <w:sz w:val="24"/>
        </w:rPr>
        <w:t xml:space="preserve">Mart 2019’da TEPE anketi katılımcılarının yüzde 40,9’u önümüzdeki 3 ayda işlerinde iyileşme beklerken, yüzde 32’si işlerinde kötüleşme beklediğini belirtti. İşlerinde bir değişiklik beklemeyenlerin oranı ise, yüzde 27,1 oldu. </w:t>
      </w:r>
    </w:p>
    <w:p w:rsidR="00703A47" w:rsidRDefault="00703A47" w:rsidP="00703A47">
      <w:pPr>
        <w:tabs>
          <w:tab w:val="left" w:pos="8258"/>
        </w:tabs>
        <w:spacing w:after="0"/>
        <w:jc w:val="both"/>
        <w:rPr>
          <w:b/>
        </w:rPr>
      </w:pPr>
    </w:p>
    <w:p w:rsidR="00703A47" w:rsidRDefault="00703A47" w:rsidP="00703A47">
      <w:pPr>
        <w:tabs>
          <w:tab w:val="left" w:pos="8258"/>
        </w:tabs>
        <w:spacing w:after="0"/>
        <w:jc w:val="both"/>
      </w:pPr>
      <w:r w:rsidRPr="00662EBC">
        <w:rPr>
          <w:b/>
        </w:rPr>
        <w:t>Şekil-</w:t>
      </w:r>
      <w:r>
        <w:rPr>
          <w:b/>
        </w:rPr>
        <w:t>2</w:t>
      </w:r>
      <w:r w:rsidRPr="00662EBC">
        <w:rPr>
          <w:b/>
        </w:rPr>
        <w:t xml:space="preserve">. </w:t>
      </w:r>
      <w:r w:rsidRPr="00662EBC">
        <w:t xml:space="preserve">Önümüzdeki 3 aya ilişkin </w:t>
      </w:r>
      <w:r>
        <w:t xml:space="preserve">satış </w:t>
      </w:r>
      <w:r w:rsidRPr="00662EBC">
        <w:t>beklenti</w:t>
      </w:r>
      <w:r>
        <w:t>si</w:t>
      </w:r>
      <w:r w:rsidRPr="00662EBC">
        <w:rPr>
          <w:noProof/>
        </w:rPr>
        <w:t xml:space="preserve"> </w:t>
      </w:r>
      <w:r>
        <w:t>(Mart 2018</w:t>
      </w:r>
      <w:r w:rsidRPr="00662EBC">
        <w:t xml:space="preserve"> –</w:t>
      </w:r>
      <w:r>
        <w:t xml:space="preserve"> Mart 2019</w:t>
      </w:r>
      <w:r w:rsidRPr="00662EBC">
        <w:t>)</w:t>
      </w:r>
    </w:p>
    <w:p w:rsidR="00703A47" w:rsidRDefault="00703A47" w:rsidP="00703A47">
      <w:pPr>
        <w:tabs>
          <w:tab w:val="left" w:pos="8258"/>
        </w:tabs>
        <w:spacing w:after="0"/>
        <w:jc w:val="both"/>
      </w:pPr>
      <w:r>
        <w:rPr>
          <w:noProof/>
        </w:rPr>
        <w:drawing>
          <wp:inline distT="0" distB="0" distL="0" distR="0" wp14:anchorId="7DB2770A" wp14:editId="428DB3F1">
            <wp:extent cx="5759450" cy="2381912"/>
            <wp:effectExtent l="0" t="0" r="12700" b="1841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3A47" w:rsidRDefault="00703A47" w:rsidP="00703A47">
      <w:pPr>
        <w:tabs>
          <w:tab w:val="left" w:pos="8258"/>
        </w:tabs>
        <w:spacing w:after="0"/>
        <w:jc w:val="both"/>
      </w:pPr>
    </w:p>
    <w:p w:rsidR="00703A47" w:rsidRDefault="00703A47" w:rsidP="00703A47">
      <w:pPr>
        <w:tabs>
          <w:tab w:val="left" w:pos="8258"/>
        </w:tabs>
        <w:spacing w:after="0"/>
        <w:jc w:val="both"/>
      </w:pPr>
    </w:p>
    <w:p w:rsidR="00703A47" w:rsidRPr="003127E7" w:rsidRDefault="00703A47" w:rsidP="00703A47">
      <w:pPr>
        <w:tabs>
          <w:tab w:val="left" w:pos="8258"/>
        </w:tabs>
        <w:spacing w:after="0"/>
        <w:jc w:val="both"/>
      </w:pPr>
      <w:r w:rsidRPr="00662EBC">
        <w:rPr>
          <w:b/>
        </w:rPr>
        <w:t>Tablo-2.</w:t>
      </w:r>
      <w:r w:rsidRPr="00662EBC">
        <w:t xml:space="preserve"> Önümüzdeki 3 aya ilişkin</w:t>
      </w:r>
      <w:r>
        <w:t xml:space="preserve"> satış</w:t>
      </w:r>
      <w:r w:rsidRPr="00662EBC">
        <w:t xml:space="preserve"> beklenti</w:t>
      </w:r>
      <w:r>
        <w:t xml:space="preserve">si </w:t>
      </w:r>
    </w:p>
    <w:tbl>
      <w:tblPr>
        <w:tblStyle w:val="OrtaKlavuz3-Vurgu1"/>
        <w:tblW w:w="10778" w:type="dxa"/>
        <w:jc w:val="center"/>
        <w:tblLook w:val="04A0" w:firstRow="1" w:lastRow="0" w:firstColumn="1" w:lastColumn="0" w:noHBand="0" w:noVBand="1"/>
      </w:tblPr>
      <w:tblGrid>
        <w:gridCol w:w="697"/>
        <w:gridCol w:w="741"/>
        <w:gridCol w:w="807"/>
        <w:gridCol w:w="708"/>
        <w:gridCol w:w="808"/>
        <w:gridCol w:w="808"/>
        <w:gridCol w:w="974"/>
        <w:gridCol w:w="1063"/>
        <w:gridCol w:w="1052"/>
        <w:gridCol w:w="730"/>
        <w:gridCol w:w="730"/>
        <w:gridCol w:w="852"/>
        <w:gridCol w:w="808"/>
      </w:tblGrid>
      <w:tr w:rsidR="00703A47" w:rsidRPr="003127E7" w:rsidTr="0061662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hideMark/>
          </w:tcPr>
          <w:p w:rsidR="00703A47" w:rsidRPr="00346335" w:rsidRDefault="00703A47" w:rsidP="00616629">
            <w:pPr>
              <w:spacing w:after="0" w:line="240" w:lineRule="auto"/>
              <w:jc w:val="center"/>
              <w:rPr>
                <w:rFonts w:asciiTheme="minorHAnsi" w:eastAsia="Times New Roman" w:hAnsiTheme="minorHAnsi" w:cs="Arial"/>
                <w:color w:val="000000" w:themeColor="text1"/>
              </w:rPr>
            </w:pPr>
          </w:p>
        </w:tc>
        <w:tc>
          <w:tcPr>
            <w:tcW w:w="741"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Ocak</w:t>
            </w:r>
          </w:p>
        </w:tc>
        <w:tc>
          <w:tcPr>
            <w:tcW w:w="807"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Şubat</w:t>
            </w:r>
          </w:p>
        </w:tc>
        <w:tc>
          <w:tcPr>
            <w:tcW w:w="708"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Mart</w:t>
            </w:r>
          </w:p>
        </w:tc>
        <w:tc>
          <w:tcPr>
            <w:tcW w:w="808"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Nisan</w:t>
            </w:r>
          </w:p>
        </w:tc>
        <w:tc>
          <w:tcPr>
            <w:tcW w:w="808"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Mayıs</w:t>
            </w:r>
          </w:p>
        </w:tc>
        <w:tc>
          <w:tcPr>
            <w:tcW w:w="974"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Haziran</w:t>
            </w:r>
          </w:p>
        </w:tc>
        <w:tc>
          <w:tcPr>
            <w:tcW w:w="1063"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Temmuz</w:t>
            </w:r>
          </w:p>
        </w:tc>
        <w:tc>
          <w:tcPr>
            <w:tcW w:w="1052"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Ağustos</w:t>
            </w:r>
          </w:p>
        </w:tc>
        <w:tc>
          <w:tcPr>
            <w:tcW w:w="730"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Eylül</w:t>
            </w:r>
          </w:p>
        </w:tc>
        <w:tc>
          <w:tcPr>
            <w:tcW w:w="730"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Ekim</w:t>
            </w:r>
          </w:p>
        </w:tc>
        <w:tc>
          <w:tcPr>
            <w:tcW w:w="852"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Kasım</w:t>
            </w:r>
          </w:p>
        </w:tc>
        <w:tc>
          <w:tcPr>
            <w:tcW w:w="808" w:type="dxa"/>
            <w:noWrap/>
            <w:vAlign w:val="center"/>
            <w:hideMark/>
          </w:tcPr>
          <w:p w:rsidR="00703A47" w:rsidRPr="00346335" w:rsidRDefault="00703A47" w:rsidP="00616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Aralık</w:t>
            </w:r>
          </w:p>
        </w:tc>
      </w:tr>
      <w:tr w:rsidR="00703A47" w:rsidRPr="003127E7" w:rsidTr="0061662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tcPr>
          <w:p w:rsidR="00703A47" w:rsidRPr="00346335" w:rsidRDefault="00703A47" w:rsidP="00616629">
            <w:pPr>
              <w:spacing w:after="0" w:line="240" w:lineRule="auto"/>
              <w:jc w:val="center"/>
              <w:rPr>
                <w:rFonts w:asciiTheme="minorHAnsi" w:eastAsia="Times New Roman" w:hAnsiTheme="minorHAnsi" w:cs="Arial"/>
                <w:color w:val="000000" w:themeColor="text1"/>
              </w:rPr>
            </w:pPr>
            <w:r>
              <w:rPr>
                <w:rFonts w:asciiTheme="minorHAnsi" w:eastAsia="Times New Roman" w:hAnsiTheme="minorHAnsi" w:cs="Arial"/>
                <w:color w:val="000000" w:themeColor="text1"/>
              </w:rPr>
              <w:t>2017</w:t>
            </w:r>
          </w:p>
        </w:tc>
        <w:tc>
          <w:tcPr>
            <w:tcW w:w="741"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-6,6</w:t>
            </w:r>
          </w:p>
        </w:tc>
        <w:tc>
          <w:tcPr>
            <w:tcW w:w="807"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-39,7</w:t>
            </w:r>
          </w:p>
        </w:tc>
        <w:tc>
          <w:tcPr>
            <w:tcW w:w="7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-15,6</w:t>
            </w:r>
          </w:p>
        </w:tc>
        <w:tc>
          <w:tcPr>
            <w:tcW w:w="8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-16,1</w:t>
            </w:r>
          </w:p>
        </w:tc>
        <w:tc>
          <w:tcPr>
            <w:tcW w:w="8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-7,2</w:t>
            </w:r>
          </w:p>
        </w:tc>
        <w:tc>
          <w:tcPr>
            <w:tcW w:w="974"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-6,2</w:t>
            </w:r>
          </w:p>
        </w:tc>
        <w:tc>
          <w:tcPr>
            <w:tcW w:w="1063"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-19,1</w:t>
            </w:r>
          </w:p>
        </w:tc>
        <w:tc>
          <w:tcPr>
            <w:tcW w:w="1052"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-9,3</w:t>
            </w:r>
          </w:p>
        </w:tc>
        <w:tc>
          <w:tcPr>
            <w:tcW w:w="730"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-7,2</w:t>
            </w:r>
          </w:p>
        </w:tc>
        <w:tc>
          <w:tcPr>
            <w:tcW w:w="730"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-3,4</w:t>
            </w:r>
          </w:p>
        </w:tc>
        <w:tc>
          <w:tcPr>
            <w:tcW w:w="852"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-6,3</w:t>
            </w:r>
          </w:p>
        </w:tc>
        <w:tc>
          <w:tcPr>
            <w:tcW w:w="8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1,2</w:t>
            </w:r>
          </w:p>
        </w:tc>
      </w:tr>
      <w:tr w:rsidR="00703A47" w:rsidRPr="003127E7" w:rsidTr="00616629">
        <w:trPr>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tcPr>
          <w:p w:rsidR="00703A47" w:rsidRDefault="00703A47" w:rsidP="00616629">
            <w:pPr>
              <w:spacing w:after="0" w:line="240" w:lineRule="auto"/>
              <w:jc w:val="center"/>
              <w:rPr>
                <w:rFonts w:asciiTheme="minorHAnsi" w:eastAsia="Times New Roman" w:hAnsiTheme="minorHAnsi" w:cs="Arial"/>
                <w:color w:val="000000" w:themeColor="text1"/>
              </w:rPr>
            </w:pPr>
            <w:r>
              <w:rPr>
                <w:rFonts w:asciiTheme="minorHAnsi" w:eastAsia="Times New Roman" w:hAnsiTheme="minorHAnsi" w:cs="Arial"/>
                <w:color w:val="000000" w:themeColor="text1"/>
              </w:rPr>
              <w:t>2018</w:t>
            </w:r>
          </w:p>
        </w:tc>
        <w:tc>
          <w:tcPr>
            <w:tcW w:w="741"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-10,0</w:t>
            </w:r>
          </w:p>
        </w:tc>
        <w:tc>
          <w:tcPr>
            <w:tcW w:w="807"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5,5</w:t>
            </w:r>
          </w:p>
        </w:tc>
        <w:tc>
          <w:tcPr>
            <w:tcW w:w="708"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-5,1</w:t>
            </w:r>
          </w:p>
        </w:tc>
        <w:tc>
          <w:tcPr>
            <w:tcW w:w="808"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-11,2</w:t>
            </w:r>
          </w:p>
        </w:tc>
        <w:tc>
          <w:tcPr>
            <w:tcW w:w="808"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-14,3</w:t>
            </w:r>
          </w:p>
        </w:tc>
        <w:tc>
          <w:tcPr>
            <w:tcW w:w="974"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-1,3</w:t>
            </w:r>
          </w:p>
        </w:tc>
        <w:tc>
          <w:tcPr>
            <w:tcW w:w="1063"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-5,4</w:t>
            </w:r>
          </w:p>
        </w:tc>
        <w:tc>
          <w:tcPr>
            <w:tcW w:w="1052"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-17,3</w:t>
            </w:r>
          </w:p>
        </w:tc>
        <w:tc>
          <w:tcPr>
            <w:tcW w:w="730"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-15,3</w:t>
            </w:r>
          </w:p>
        </w:tc>
        <w:tc>
          <w:tcPr>
            <w:tcW w:w="730"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-19,2</w:t>
            </w:r>
          </w:p>
        </w:tc>
        <w:tc>
          <w:tcPr>
            <w:tcW w:w="852"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-15,7</w:t>
            </w:r>
          </w:p>
        </w:tc>
        <w:tc>
          <w:tcPr>
            <w:tcW w:w="808" w:type="dxa"/>
            <w:noWrap/>
            <w:vAlign w:val="bottom"/>
          </w:tcPr>
          <w:p w:rsidR="00703A47" w:rsidRDefault="00703A47"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18,6</w:t>
            </w:r>
          </w:p>
        </w:tc>
      </w:tr>
      <w:tr w:rsidR="00703A47" w:rsidRPr="003127E7" w:rsidTr="0061662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tcPr>
          <w:p w:rsidR="00703A47" w:rsidRDefault="00703A47" w:rsidP="00616629">
            <w:pPr>
              <w:spacing w:after="0" w:line="240" w:lineRule="auto"/>
              <w:jc w:val="center"/>
              <w:rPr>
                <w:rFonts w:asciiTheme="minorHAnsi" w:eastAsia="Times New Roman" w:hAnsiTheme="minorHAnsi" w:cs="Arial"/>
                <w:color w:val="000000" w:themeColor="text1"/>
              </w:rPr>
            </w:pPr>
            <w:r>
              <w:rPr>
                <w:rFonts w:asciiTheme="minorHAnsi" w:eastAsia="Times New Roman" w:hAnsiTheme="minorHAnsi" w:cs="Arial"/>
                <w:color w:val="000000" w:themeColor="text1"/>
              </w:rPr>
              <w:t>2019</w:t>
            </w:r>
          </w:p>
        </w:tc>
        <w:tc>
          <w:tcPr>
            <w:tcW w:w="741"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-17,3</w:t>
            </w:r>
          </w:p>
        </w:tc>
        <w:tc>
          <w:tcPr>
            <w:tcW w:w="807"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-27,3</w:t>
            </w:r>
          </w:p>
        </w:tc>
        <w:tc>
          <w:tcPr>
            <w:tcW w:w="7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-11,2</w:t>
            </w:r>
          </w:p>
        </w:tc>
        <w:tc>
          <w:tcPr>
            <w:tcW w:w="8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08"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974"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63"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52"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30"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30"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52" w:type="dxa"/>
            <w:noWrap/>
            <w:vAlign w:val="bottom"/>
          </w:tcPr>
          <w:p w:rsidR="00703A47"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08" w:type="dxa"/>
            <w:noWrap/>
            <w:vAlign w:val="center"/>
          </w:tcPr>
          <w:p w:rsidR="00703A47" w:rsidRPr="008A22AB" w:rsidRDefault="00703A47"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r>
    </w:tbl>
    <w:p w:rsidR="00703A47" w:rsidRDefault="00703A47"/>
    <w:p w:rsidR="00487F7E" w:rsidRPr="00577FCC" w:rsidRDefault="00487F7E" w:rsidP="00487F7E">
      <w:pPr>
        <w:pStyle w:val="Balk2"/>
        <w:spacing w:before="0"/>
        <w:jc w:val="both"/>
        <w:rPr>
          <w:rFonts w:asciiTheme="minorHAnsi" w:hAnsiTheme="minorHAnsi" w:cs="Arial"/>
          <w:color w:val="0070C0"/>
          <w:sz w:val="28"/>
        </w:rPr>
      </w:pPr>
      <w:r w:rsidRPr="00577FCC">
        <w:rPr>
          <w:rFonts w:asciiTheme="minorHAnsi" w:hAnsiTheme="minorHAnsi" w:cs="Arial"/>
          <w:color w:val="0070C0"/>
          <w:sz w:val="28"/>
        </w:rPr>
        <w:t>İşlerin geçen yılın aynı dönemine göre durumu iyileşti</w:t>
      </w:r>
    </w:p>
    <w:p w:rsidR="00487F7E" w:rsidRPr="00487F7E" w:rsidRDefault="00487F7E" w:rsidP="00487F7E">
      <w:pPr>
        <w:pStyle w:val="Balk2"/>
        <w:spacing w:before="0"/>
        <w:jc w:val="both"/>
        <w:rPr>
          <w:rFonts w:asciiTheme="minorHAnsi" w:hAnsiTheme="minorHAnsi" w:cs="Arial"/>
          <w:b w:val="0"/>
          <w:color w:val="auto"/>
          <w:sz w:val="24"/>
        </w:rPr>
      </w:pPr>
      <w:r w:rsidRPr="00487F7E">
        <w:rPr>
          <w:rFonts w:asciiTheme="minorHAnsi" w:hAnsiTheme="minorHAnsi" w:cs="Arial"/>
          <w:b w:val="0"/>
          <w:color w:val="auto"/>
          <w:sz w:val="24"/>
        </w:rPr>
        <w:t xml:space="preserve">İşlerin geçen yılın aynı dönemine göre durumu, Mart 2019’da -35,3 puan değerini alarak, Şubat 2019’a göre 16,1 puan artarken, Mart 2018’e göre 4,2 puan azaldı. </w:t>
      </w:r>
    </w:p>
    <w:p w:rsidR="00487F7E" w:rsidRPr="00487F7E" w:rsidRDefault="00487F7E" w:rsidP="00487F7E">
      <w:pPr>
        <w:pStyle w:val="Balk2"/>
        <w:spacing w:before="0"/>
        <w:jc w:val="both"/>
        <w:rPr>
          <w:rFonts w:ascii="Calibri" w:eastAsia="Calibri" w:hAnsi="Calibri"/>
          <w:b w:val="0"/>
          <w:bCs w:val="0"/>
          <w:color w:val="auto"/>
          <w:sz w:val="22"/>
          <w:szCs w:val="22"/>
          <w:highlight w:val="yellow"/>
        </w:rPr>
      </w:pPr>
    </w:p>
    <w:p w:rsidR="00487F7E" w:rsidRPr="00487F7E" w:rsidRDefault="00487F7E" w:rsidP="00487F7E">
      <w:pPr>
        <w:pStyle w:val="Balk2"/>
        <w:spacing w:before="0"/>
        <w:jc w:val="both"/>
        <w:rPr>
          <w:rFonts w:asciiTheme="minorHAnsi" w:hAnsiTheme="minorHAnsi" w:cs="Arial"/>
          <w:b w:val="0"/>
          <w:color w:val="auto"/>
          <w:sz w:val="24"/>
        </w:rPr>
      </w:pPr>
      <w:r w:rsidRPr="00487F7E">
        <w:rPr>
          <w:rFonts w:asciiTheme="minorHAnsi" w:hAnsiTheme="minorHAnsi" w:cs="Arial"/>
          <w:b w:val="0"/>
          <w:color w:val="auto"/>
          <w:sz w:val="24"/>
        </w:rPr>
        <w:t xml:space="preserve">Mart 2019’da TEPE anketi katılımcılarının yüzde 19’u geçen yılın aynı dönemine göre işlerinde artış olduğunu belirtirken, işlerinde düşüş olduğunu belirtenlerin oranı yüzde 54,2 olarak belirlendi. Geçen yıla göre işlerinde bir değişiklik olmadığını belirtenlerin oranı ise, yüzde 26,8 oldu. </w:t>
      </w:r>
    </w:p>
    <w:p w:rsidR="00487F7E" w:rsidRDefault="00487F7E" w:rsidP="00487F7E">
      <w:pPr>
        <w:tabs>
          <w:tab w:val="left" w:pos="8258"/>
        </w:tabs>
        <w:spacing w:after="0"/>
        <w:jc w:val="both"/>
        <w:rPr>
          <w:b/>
        </w:rPr>
      </w:pPr>
    </w:p>
    <w:p w:rsidR="00487F7E" w:rsidRDefault="00487F7E" w:rsidP="00487F7E">
      <w:pPr>
        <w:tabs>
          <w:tab w:val="left" w:pos="8258"/>
        </w:tabs>
        <w:spacing w:after="0"/>
        <w:jc w:val="both"/>
      </w:pPr>
      <w:r w:rsidRPr="005B326E">
        <w:rPr>
          <w:b/>
        </w:rPr>
        <w:t>Şekil-</w:t>
      </w:r>
      <w:r>
        <w:rPr>
          <w:b/>
        </w:rPr>
        <w:t>3</w:t>
      </w:r>
      <w:r w:rsidRPr="005B326E">
        <w:rPr>
          <w:b/>
        </w:rPr>
        <w:t>.</w:t>
      </w:r>
      <w:r w:rsidRPr="005B326E">
        <w:t xml:space="preserve"> İşlerin geçen yı</w:t>
      </w:r>
      <w:r>
        <w:t xml:space="preserve">lın aynı dönemine göre durumu </w:t>
      </w:r>
      <w:r w:rsidRPr="005B326E">
        <w:t>(</w:t>
      </w:r>
      <w:r>
        <w:t>Mart 2018</w:t>
      </w:r>
      <w:r w:rsidRPr="00662EBC">
        <w:t xml:space="preserve"> –</w:t>
      </w:r>
      <w:r>
        <w:t xml:space="preserve"> Mart 2019</w:t>
      </w:r>
      <w:r w:rsidRPr="005B326E">
        <w:t>)</w:t>
      </w:r>
    </w:p>
    <w:p w:rsidR="00487F7E" w:rsidRDefault="00487F7E" w:rsidP="00487F7E">
      <w:pPr>
        <w:tabs>
          <w:tab w:val="left" w:pos="8258"/>
        </w:tabs>
        <w:spacing w:after="0"/>
        <w:jc w:val="both"/>
      </w:pPr>
      <w:r>
        <w:rPr>
          <w:noProof/>
        </w:rPr>
        <w:lastRenderedPageBreak/>
        <w:drawing>
          <wp:inline distT="0" distB="0" distL="0" distR="0" wp14:anchorId="580939CF" wp14:editId="74FBA5CB">
            <wp:extent cx="5759450" cy="2387422"/>
            <wp:effectExtent l="0" t="0" r="12700" b="1333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87F7E" w:rsidRDefault="00487F7E" w:rsidP="00487F7E">
      <w:pPr>
        <w:tabs>
          <w:tab w:val="left" w:pos="8258"/>
        </w:tabs>
        <w:spacing w:after="0"/>
        <w:jc w:val="both"/>
      </w:pPr>
    </w:p>
    <w:p w:rsidR="00487F7E" w:rsidRPr="003127E7" w:rsidRDefault="00487F7E" w:rsidP="00487F7E">
      <w:pPr>
        <w:tabs>
          <w:tab w:val="left" w:pos="8258"/>
        </w:tabs>
        <w:spacing w:after="0"/>
        <w:jc w:val="both"/>
      </w:pPr>
      <w:r w:rsidRPr="00FC4133">
        <w:rPr>
          <w:b/>
        </w:rPr>
        <w:t>Tablo-3.</w:t>
      </w:r>
      <w:r w:rsidRPr="00FC4133">
        <w:t xml:space="preserve"> İşlerin geçen yılın aynı dönemine göre durumu </w:t>
      </w:r>
    </w:p>
    <w:tbl>
      <w:tblPr>
        <w:tblStyle w:val="OrtaKlavuz3-Vurgu1"/>
        <w:tblW w:w="10778" w:type="dxa"/>
        <w:jc w:val="center"/>
        <w:tblLook w:val="04A0" w:firstRow="1" w:lastRow="0" w:firstColumn="1" w:lastColumn="0" w:noHBand="0" w:noVBand="1"/>
      </w:tblPr>
      <w:tblGrid>
        <w:gridCol w:w="697"/>
        <w:gridCol w:w="741"/>
        <w:gridCol w:w="807"/>
        <w:gridCol w:w="708"/>
        <w:gridCol w:w="808"/>
        <w:gridCol w:w="808"/>
        <w:gridCol w:w="974"/>
        <w:gridCol w:w="1063"/>
        <w:gridCol w:w="1052"/>
        <w:gridCol w:w="730"/>
        <w:gridCol w:w="730"/>
        <w:gridCol w:w="852"/>
        <w:gridCol w:w="808"/>
      </w:tblGrid>
      <w:tr w:rsidR="00487F7E" w:rsidRPr="003127E7" w:rsidTr="0061662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hideMark/>
          </w:tcPr>
          <w:p w:rsidR="00487F7E" w:rsidRPr="00847C02" w:rsidRDefault="00487F7E" w:rsidP="00616629">
            <w:pPr>
              <w:spacing w:after="0" w:line="240" w:lineRule="auto"/>
              <w:jc w:val="center"/>
              <w:rPr>
                <w:rFonts w:asciiTheme="minorHAnsi" w:eastAsia="Times New Roman" w:hAnsiTheme="minorHAnsi" w:cs="Arial"/>
                <w:color w:val="000000" w:themeColor="text1"/>
              </w:rPr>
            </w:pPr>
          </w:p>
        </w:tc>
        <w:tc>
          <w:tcPr>
            <w:tcW w:w="741"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Ocak</w:t>
            </w:r>
          </w:p>
        </w:tc>
        <w:tc>
          <w:tcPr>
            <w:tcW w:w="807"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Şubat</w:t>
            </w:r>
          </w:p>
        </w:tc>
        <w:tc>
          <w:tcPr>
            <w:tcW w:w="708"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Mart</w:t>
            </w:r>
          </w:p>
        </w:tc>
        <w:tc>
          <w:tcPr>
            <w:tcW w:w="808"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Nisan</w:t>
            </w:r>
          </w:p>
        </w:tc>
        <w:tc>
          <w:tcPr>
            <w:tcW w:w="808"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Mayıs</w:t>
            </w:r>
          </w:p>
        </w:tc>
        <w:tc>
          <w:tcPr>
            <w:tcW w:w="974"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Haziran</w:t>
            </w:r>
          </w:p>
        </w:tc>
        <w:tc>
          <w:tcPr>
            <w:tcW w:w="1063"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Temmuz</w:t>
            </w:r>
          </w:p>
        </w:tc>
        <w:tc>
          <w:tcPr>
            <w:tcW w:w="1052"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Ağustos</w:t>
            </w:r>
          </w:p>
        </w:tc>
        <w:tc>
          <w:tcPr>
            <w:tcW w:w="730"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Eylül</w:t>
            </w:r>
          </w:p>
        </w:tc>
        <w:tc>
          <w:tcPr>
            <w:tcW w:w="730"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Ekim</w:t>
            </w:r>
          </w:p>
        </w:tc>
        <w:tc>
          <w:tcPr>
            <w:tcW w:w="852"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Kasım</w:t>
            </w:r>
          </w:p>
        </w:tc>
        <w:tc>
          <w:tcPr>
            <w:tcW w:w="808" w:type="dxa"/>
            <w:noWrap/>
            <w:vAlign w:val="center"/>
            <w:hideMark/>
          </w:tcPr>
          <w:p w:rsidR="00487F7E" w:rsidRPr="00E542F8" w:rsidRDefault="00487F7E" w:rsidP="00616629">
            <w:pPr>
              <w:autoSpaceDE w:val="0"/>
              <w:autoSpaceDN w:val="0"/>
              <w:adjustRightInd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rPr>
            </w:pPr>
            <w:r w:rsidRPr="00E542F8">
              <w:rPr>
                <w:rFonts w:cs="Calibri"/>
                <w:bCs w:val="0"/>
                <w:color w:val="000000"/>
              </w:rPr>
              <w:t>Aralık</w:t>
            </w:r>
          </w:p>
        </w:tc>
      </w:tr>
      <w:tr w:rsidR="00487F7E" w:rsidRPr="003127E7" w:rsidTr="0061662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tcPr>
          <w:p w:rsidR="00487F7E" w:rsidRPr="00847C02" w:rsidRDefault="00487F7E" w:rsidP="00616629">
            <w:pPr>
              <w:spacing w:after="0" w:line="240" w:lineRule="auto"/>
              <w:jc w:val="center"/>
              <w:rPr>
                <w:rFonts w:asciiTheme="minorHAnsi" w:eastAsia="Times New Roman" w:hAnsiTheme="minorHAnsi" w:cs="Arial"/>
                <w:color w:val="000000" w:themeColor="text1"/>
              </w:rPr>
            </w:pPr>
            <w:r>
              <w:rPr>
                <w:rFonts w:asciiTheme="minorHAnsi" w:eastAsia="Times New Roman" w:hAnsiTheme="minorHAnsi" w:cs="Arial"/>
                <w:color w:val="000000" w:themeColor="text1"/>
              </w:rPr>
              <w:t>2017</w:t>
            </w:r>
          </w:p>
        </w:tc>
        <w:tc>
          <w:tcPr>
            <w:tcW w:w="741"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-43,3</w:t>
            </w:r>
          </w:p>
        </w:tc>
        <w:tc>
          <w:tcPr>
            <w:tcW w:w="807"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-36,3</w:t>
            </w:r>
          </w:p>
        </w:tc>
        <w:tc>
          <w:tcPr>
            <w:tcW w:w="7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-41,3</w:t>
            </w:r>
          </w:p>
        </w:tc>
        <w:tc>
          <w:tcPr>
            <w:tcW w:w="8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-38,6</w:t>
            </w:r>
          </w:p>
        </w:tc>
        <w:tc>
          <w:tcPr>
            <w:tcW w:w="8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-39,4</w:t>
            </w:r>
          </w:p>
        </w:tc>
        <w:tc>
          <w:tcPr>
            <w:tcW w:w="974"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-41,6</w:t>
            </w:r>
          </w:p>
        </w:tc>
        <w:tc>
          <w:tcPr>
            <w:tcW w:w="1063"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-38,5</w:t>
            </w:r>
          </w:p>
        </w:tc>
        <w:tc>
          <w:tcPr>
            <w:tcW w:w="1052"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-36,6</w:t>
            </w:r>
          </w:p>
        </w:tc>
        <w:tc>
          <w:tcPr>
            <w:tcW w:w="730"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-39,8</w:t>
            </w:r>
          </w:p>
        </w:tc>
        <w:tc>
          <w:tcPr>
            <w:tcW w:w="730"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-38,4</w:t>
            </w:r>
          </w:p>
        </w:tc>
        <w:tc>
          <w:tcPr>
            <w:tcW w:w="852"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-45,6</w:t>
            </w:r>
          </w:p>
        </w:tc>
        <w:tc>
          <w:tcPr>
            <w:tcW w:w="8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-44,7</w:t>
            </w:r>
          </w:p>
        </w:tc>
      </w:tr>
      <w:tr w:rsidR="00487F7E" w:rsidRPr="003127E7" w:rsidTr="00616629">
        <w:trPr>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tcPr>
          <w:p w:rsidR="00487F7E" w:rsidRDefault="00487F7E" w:rsidP="00616629">
            <w:pPr>
              <w:spacing w:after="0" w:line="240" w:lineRule="auto"/>
              <w:jc w:val="center"/>
              <w:rPr>
                <w:rFonts w:asciiTheme="minorHAnsi" w:eastAsia="Times New Roman" w:hAnsiTheme="minorHAnsi" w:cs="Arial"/>
                <w:color w:val="000000" w:themeColor="text1"/>
              </w:rPr>
            </w:pPr>
            <w:r>
              <w:rPr>
                <w:rFonts w:asciiTheme="minorHAnsi" w:eastAsia="Times New Roman" w:hAnsiTheme="minorHAnsi" w:cs="Arial"/>
                <w:color w:val="000000" w:themeColor="text1"/>
              </w:rPr>
              <w:t>2018</w:t>
            </w:r>
          </w:p>
        </w:tc>
        <w:tc>
          <w:tcPr>
            <w:tcW w:w="741"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-37,6</w:t>
            </w:r>
          </w:p>
        </w:tc>
        <w:tc>
          <w:tcPr>
            <w:tcW w:w="807"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-19,5</w:t>
            </w:r>
          </w:p>
        </w:tc>
        <w:tc>
          <w:tcPr>
            <w:tcW w:w="708"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-31,1</w:t>
            </w:r>
          </w:p>
        </w:tc>
        <w:tc>
          <w:tcPr>
            <w:tcW w:w="808"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-31,3</w:t>
            </w:r>
          </w:p>
        </w:tc>
        <w:tc>
          <w:tcPr>
            <w:tcW w:w="808"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-31,7</w:t>
            </w:r>
          </w:p>
        </w:tc>
        <w:tc>
          <w:tcPr>
            <w:tcW w:w="974"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-25,8</w:t>
            </w:r>
          </w:p>
        </w:tc>
        <w:tc>
          <w:tcPr>
            <w:tcW w:w="1063"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-30,5</w:t>
            </w:r>
          </w:p>
        </w:tc>
        <w:tc>
          <w:tcPr>
            <w:tcW w:w="1052"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-34,5</w:t>
            </w:r>
          </w:p>
        </w:tc>
        <w:tc>
          <w:tcPr>
            <w:tcW w:w="730"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-43,5</w:t>
            </w:r>
          </w:p>
        </w:tc>
        <w:tc>
          <w:tcPr>
            <w:tcW w:w="730"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-54,3</w:t>
            </w:r>
          </w:p>
        </w:tc>
        <w:tc>
          <w:tcPr>
            <w:tcW w:w="852"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-59,0</w:t>
            </w:r>
          </w:p>
        </w:tc>
        <w:tc>
          <w:tcPr>
            <w:tcW w:w="808" w:type="dxa"/>
            <w:noWrap/>
            <w:vAlign w:val="bottom"/>
          </w:tcPr>
          <w:p w:rsidR="00487F7E" w:rsidRDefault="00487F7E" w:rsidP="00616629">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-33,5</w:t>
            </w:r>
          </w:p>
        </w:tc>
      </w:tr>
      <w:tr w:rsidR="00487F7E" w:rsidRPr="00F87E72" w:rsidTr="0061662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7" w:type="dxa"/>
            <w:noWrap/>
            <w:vAlign w:val="center"/>
          </w:tcPr>
          <w:p w:rsidR="00487F7E" w:rsidRDefault="00487F7E" w:rsidP="00616629">
            <w:pPr>
              <w:spacing w:after="0" w:line="240" w:lineRule="auto"/>
              <w:jc w:val="center"/>
              <w:rPr>
                <w:rFonts w:asciiTheme="minorHAnsi" w:eastAsia="Times New Roman" w:hAnsiTheme="minorHAnsi" w:cs="Arial"/>
                <w:color w:val="000000" w:themeColor="text1"/>
              </w:rPr>
            </w:pPr>
            <w:r>
              <w:rPr>
                <w:rFonts w:asciiTheme="minorHAnsi" w:eastAsia="Times New Roman" w:hAnsiTheme="minorHAnsi" w:cs="Arial"/>
                <w:color w:val="000000" w:themeColor="text1"/>
              </w:rPr>
              <w:t>2019</w:t>
            </w:r>
          </w:p>
        </w:tc>
        <w:tc>
          <w:tcPr>
            <w:tcW w:w="741"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-54,1</w:t>
            </w:r>
          </w:p>
        </w:tc>
        <w:tc>
          <w:tcPr>
            <w:tcW w:w="807"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-51,4</w:t>
            </w:r>
          </w:p>
        </w:tc>
        <w:tc>
          <w:tcPr>
            <w:tcW w:w="7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-35,3</w:t>
            </w:r>
          </w:p>
        </w:tc>
        <w:tc>
          <w:tcPr>
            <w:tcW w:w="8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08"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974"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63"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52"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30"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30"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52" w:type="dxa"/>
            <w:noWrap/>
            <w:vAlign w:val="bottom"/>
          </w:tcPr>
          <w:p w:rsidR="00487F7E"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08" w:type="dxa"/>
            <w:noWrap/>
            <w:vAlign w:val="center"/>
          </w:tcPr>
          <w:p w:rsidR="00487F7E" w:rsidRPr="00583AF6" w:rsidRDefault="00487F7E" w:rsidP="00616629">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r>
    </w:tbl>
    <w:p w:rsidR="00487F7E" w:rsidRPr="00721FD0" w:rsidRDefault="00487F7E" w:rsidP="00487F7E">
      <w:pPr>
        <w:pStyle w:val="Balk2"/>
        <w:spacing w:before="0"/>
        <w:jc w:val="both"/>
        <w:rPr>
          <w:rFonts w:asciiTheme="minorHAnsi" w:hAnsiTheme="minorHAnsi" w:cs="Arial"/>
          <w:color w:val="0070C0"/>
          <w:sz w:val="28"/>
        </w:rPr>
      </w:pPr>
      <w:r w:rsidRPr="00721FD0">
        <w:rPr>
          <w:rFonts w:asciiTheme="minorHAnsi" w:hAnsiTheme="minorHAnsi" w:cs="Arial"/>
          <w:color w:val="0070C0"/>
          <w:sz w:val="28"/>
        </w:rPr>
        <w:t xml:space="preserve">Perakende güveni en fazla artan “birden fazla türde ürün satan bakkal, market ve büyük mağazalar” </w:t>
      </w:r>
      <w:r>
        <w:rPr>
          <w:rFonts w:asciiTheme="minorHAnsi" w:hAnsiTheme="minorHAnsi" w:cs="Arial"/>
          <w:color w:val="0070C0"/>
          <w:sz w:val="28"/>
        </w:rPr>
        <w:t xml:space="preserve">sektörü </w:t>
      </w:r>
      <w:r w:rsidRPr="00721FD0">
        <w:rPr>
          <w:rFonts w:asciiTheme="minorHAnsi" w:hAnsiTheme="minorHAnsi" w:cs="Arial"/>
          <w:color w:val="0070C0"/>
          <w:sz w:val="28"/>
        </w:rPr>
        <w:t>oldu</w:t>
      </w:r>
    </w:p>
    <w:p w:rsidR="00487F7E" w:rsidRPr="00487F7E" w:rsidRDefault="00487F7E" w:rsidP="00487F7E">
      <w:pPr>
        <w:pStyle w:val="Balk2"/>
        <w:spacing w:before="0"/>
        <w:jc w:val="both"/>
        <w:rPr>
          <w:rFonts w:asciiTheme="minorHAnsi" w:hAnsiTheme="minorHAnsi" w:cs="Arial"/>
          <w:b w:val="0"/>
          <w:color w:val="auto"/>
          <w:sz w:val="24"/>
        </w:rPr>
      </w:pPr>
      <w:r w:rsidRPr="00487F7E">
        <w:rPr>
          <w:rFonts w:asciiTheme="minorHAnsi" w:hAnsiTheme="minorHAnsi" w:cs="Arial"/>
          <w:b w:val="0"/>
          <w:color w:val="auto"/>
          <w:sz w:val="24"/>
        </w:rPr>
        <w:t xml:space="preserve">Perakende güvenine alt sektörler itibarıyla bakıldığında Mart 2019’da, geçen yılın aynı dönemine göre en fazla artan “birden fazla türde ürün satan bakkal, market ve büyük mağazalar” sektörü oldu. Bu sektörü, “tekstil, hazır giyim ve ayakkabı”, “elektrikli ev aletleri, radyo ve </w:t>
      </w:r>
      <w:proofErr w:type="spellStart"/>
      <w:r w:rsidRPr="00487F7E">
        <w:rPr>
          <w:rFonts w:asciiTheme="minorHAnsi" w:hAnsiTheme="minorHAnsi" w:cs="Arial"/>
          <w:b w:val="0"/>
          <w:color w:val="auto"/>
          <w:sz w:val="24"/>
        </w:rPr>
        <w:t>televizyonlar”ve</w:t>
      </w:r>
      <w:proofErr w:type="spellEnd"/>
      <w:r w:rsidRPr="00487F7E">
        <w:rPr>
          <w:rFonts w:asciiTheme="minorHAnsi" w:hAnsiTheme="minorHAnsi" w:cs="Arial"/>
          <w:b w:val="0"/>
          <w:color w:val="auto"/>
          <w:sz w:val="24"/>
        </w:rPr>
        <w:t xml:space="preserve"> “diğer (akaryakıt istasyonu, eczane, parfümeri, nalbur, </w:t>
      </w:r>
      <w:proofErr w:type="spellStart"/>
      <w:r w:rsidRPr="00487F7E">
        <w:rPr>
          <w:rFonts w:asciiTheme="minorHAnsi" w:hAnsiTheme="minorHAnsi" w:cs="Arial"/>
          <w:b w:val="0"/>
          <w:color w:val="auto"/>
          <w:sz w:val="24"/>
        </w:rPr>
        <w:t>züccaciye</w:t>
      </w:r>
      <w:proofErr w:type="spellEnd"/>
      <w:r w:rsidRPr="00487F7E">
        <w:rPr>
          <w:rFonts w:asciiTheme="minorHAnsi" w:hAnsiTheme="minorHAnsi" w:cs="Arial"/>
          <w:b w:val="0"/>
          <w:color w:val="auto"/>
          <w:sz w:val="24"/>
        </w:rPr>
        <w:t xml:space="preserve">, kırtasiye, vb.)” sektörleri takip etti.  Artış gösteren bu sektörler </w:t>
      </w:r>
      <w:proofErr w:type="spellStart"/>
      <w:r w:rsidRPr="00487F7E">
        <w:rPr>
          <w:rFonts w:asciiTheme="minorHAnsi" w:hAnsiTheme="minorHAnsi" w:cs="Arial"/>
          <w:b w:val="0"/>
          <w:color w:val="auto"/>
          <w:sz w:val="24"/>
        </w:rPr>
        <w:t>ortalamının</w:t>
      </w:r>
      <w:proofErr w:type="spellEnd"/>
      <w:r w:rsidRPr="00487F7E">
        <w:rPr>
          <w:rFonts w:asciiTheme="minorHAnsi" w:hAnsiTheme="minorHAnsi" w:cs="Arial"/>
          <w:b w:val="0"/>
          <w:color w:val="auto"/>
          <w:sz w:val="24"/>
        </w:rPr>
        <w:t xml:space="preserve"> üzerinde değer alırken, “motorlu taşıtlar”, “mobilya, aydınlatma </w:t>
      </w:r>
      <w:proofErr w:type="gramStart"/>
      <w:r w:rsidRPr="00487F7E">
        <w:rPr>
          <w:rFonts w:asciiTheme="minorHAnsi" w:hAnsiTheme="minorHAnsi" w:cs="Arial"/>
          <w:b w:val="0"/>
          <w:color w:val="auto"/>
          <w:sz w:val="24"/>
        </w:rPr>
        <w:t>ekipmanı</w:t>
      </w:r>
      <w:proofErr w:type="gramEnd"/>
      <w:r w:rsidRPr="00487F7E">
        <w:rPr>
          <w:rFonts w:asciiTheme="minorHAnsi" w:hAnsiTheme="minorHAnsi" w:cs="Arial"/>
          <w:b w:val="0"/>
          <w:color w:val="auto"/>
          <w:sz w:val="24"/>
        </w:rPr>
        <w:t xml:space="preserve"> ve ev içi kullanım ürünleri” ve “yiyecek, içecek ve tütün ürünleri” sektörleri ortalamanın altında değer aldı. “Yiyecek, içecek ve tütün ürünleri” sektörü perakende güveninde en fazla azalış gösteren sektör oldu. </w:t>
      </w:r>
    </w:p>
    <w:p w:rsidR="00487F7E" w:rsidRDefault="00487F7E" w:rsidP="00487F7E">
      <w:pPr>
        <w:tabs>
          <w:tab w:val="left" w:pos="8258"/>
        </w:tabs>
        <w:spacing w:before="240" w:after="0"/>
        <w:jc w:val="both"/>
      </w:pPr>
      <w:r w:rsidRPr="007F7A5F">
        <w:rPr>
          <w:b/>
        </w:rPr>
        <w:t>Şekil-</w:t>
      </w:r>
      <w:r>
        <w:rPr>
          <w:b/>
        </w:rPr>
        <w:t>4</w:t>
      </w:r>
      <w:r w:rsidRPr="007F7A5F">
        <w:rPr>
          <w:b/>
        </w:rPr>
        <w:t>.</w:t>
      </w:r>
      <w:r w:rsidRPr="007F7A5F">
        <w:t xml:space="preserve"> Alt sektör bazında </w:t>
      </w:r>
      <w:proofErr w:type="spellStart"/>
      <w:r w:rsidRPr="007F7A5F">
        <w:t>TEPE’nin</w:t>
      </w:r>
      <w:proofErr w:type="spellEnd"/>
      <w:r w:rsidRPr="007F7A5F">
        <w:t xml:space="preserve"> </w:t>
      </w:r>
      <w:r>
        <w:t>Mart 2019’da</w:t>
      </w:r>
      <w:r w:rsidRPr="007F7A5F">
        <w:t xml:space="preserve"> </w:t>
      </w:r>
      <w:r>
        <w:t>geçen</w:t>
      </w:r>
      <w:r w:rsidRPr="007F7A5F">
        <w:t xml:space="preserve"> yılın ayn</w:t>
      </w:r>
      <w:r>
        <w:t>ı dönemine göre değişimi (puan)</w:t>
      </w:r>
    </w:p>
    <w:p w:rsidR="00487F7E" w:rsidRDefault="00487F7E" w:rsidP="00487F7E">
      <w:pPr>
        <w:tabs>
          <w:tab w:val="left" w:pos="8258"/>
        </w:tabs>
        <w:spacing w:after="0"/>
        <w:jc w:val="both"/>
      </w:pPr>
      <w:r>
        <w:rPr>
          <w:noProof/>
        </w:rPr>
        <w:drawing>
          <wp:inline distT="0" distB="0" distL="0" distR="0" wp14:anchorId="2DCF61D3" wp14:editId="07E8A755">
            <wp:extent cx="5314950" cy="2209800"/>
            <wp:effectExtent l="0" t="0" r="0" b="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7F7E" w:rsidRDefault="00487F7E" w:rsidP="00487F7E">
      <w:pPr>
        <w:tabs>
          <w:tab w:val="left" w:pos="8258"/>
        </w:tabs>
        <w:spacing w:after="0"/>
        <w:jc w:val="both"/>
      </w:pPr>
    </w:p>
    <w:p w:rsidR="00487F7E" w:rsidRDefault="00487F7E"/>
    <w:sectPr w:rsidR="00487F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DA" w:rsidRDefault="000305DA" w:rsidP="00703A47">
      <w:pPr>
        <w:spacing w:after="0" w:line="240" w:lineRule="auto"/>
      </w:pPr>
      <w:r>
        <w:separator/>
      </w:r>
    </w:p>
  </w:endnote>
  <w:endnote w:type="continuationSeparator" w:id="0">
    <w:p w:rsidR="000305DA" w:rsidRDefault="000305DA" w:rsidP="0070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DA" w:rsidRDefault="000305DA" w:rsidP="00703A47">
      <w:pPr>
        <w:spacing w:after="0" w:line="240" w:lineRule="auto"/>
      </w:pPr>
      <w:r>
        <w:separator/>
      </w:r>
    </w:p>
  </w:footnote>
  <w:footnote w:type="continuationSeparator" w:id="0">
    <w:p w:rsidR="000305DA" w:rsidRDefault="000305DA" w:rsidP="00703A47">
      <w:pPr>
        <w:spacing w:after="0" w:line="240" w:lineRule="auto"/>
      </w:pPr>
      <w:r>
        <w:continuationSeparator/>
      </w:r>
    </w:p>
  </w:footnote>
  <w:footnote w:id="1">
    <w:p w:rsidR="00703A47" w:rsidRPr="000C0CAA" w:rsidRDefault="00703A47" w:rsidP="00703A47">
      <w:pPr>
        <w:pStyle w:val="DipnotMetni"/>
        <w:rPr>
          <w:sz w:val="22"/>
          <w:szCs w:val="22"/>
        </w:rPr>
      </w:pPr>
      <w:r w:rsidRPr="000C0CAA">
        <w:rPr>
          <w:rStyle w:val="DipnotBavurusu"/>
          <w:sz w:val="22"/>
          <w:szCs w:val="22"/>
        </w:rPr>
        <w:footnoteRef/>
      </w:r>
      <w:r w:rsidRPr="000C0CAA">
        <w:rPr>
          <w:sz w:val="22"/>
          <w:szCs w:val="22"/>
        </w:rPr>
        <w:t xml:space="preserve"> </w:t>
      </w:r>
      <w:r w:rsidRPr="000C0CAA">
        <w:rPr>
          <w:sz w:val="22"/>
        </w:rPr>
        <w:t>Bültendeki tablolar ve grafikler -aksi belirtilmediği- sürece mevsimsellikten arındırılmış serilere göre hazırlanmıştır.</w:t>
      </w:r>
    </w:p>
    <w:p w:rsidR="00703A47" w:rsidRDefault="00703A47" w:rsidP="00703A47">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88"/>
    <w:rsid w:val="00021B18"/>
    <w:rsid w:val="00026388"/>
    <w:rsid w:val="000305DA"/>
    <w:rsid w:val="00192546"/>
    <w:rsid w:val="001E42D5"/>
    <w:rsid w:val="0035512C"/>
    <w:rsid w:val="003F6BD9"/>
    <w:rsid w:val="00487F7E"/>
    <w:rsid w:val="004C39BA"/>
    <w:rsid w:val="004E7696"/>
    <w:rsid w:val="00562DDA"/>
    <w:rsid w:val="006A5436"/>
    <w:rsid w:val="006C2AF3"/>
    <w:rsid w:val="00703A47"/>
    <w:rsid w:val="00752808"/>
    <w:rsid w:val="00801711"/>
    <w:rsid w:val="00833A80"/>
    <w:rsid w:val="008A6C14"/>
    <w:rsid w:val="0094466D"/>
    <w:rsid w:val="00993F1F"/>
    <w:rsid w:val="00A43B2D"/>
    <w:rsid w:val="00AD5FD0"/>
    <w:rsid w:val="00B01F09"/>
    <w:rsid w:val="00B30C60"/>
    <w:rsid w:val="00B33D36"/>
    <w:rsid w:val="00B346D5"/>
    <w:rsid w:val="00BE7FFD"/>
    <w:rsid w:val="00C92FC8"/>
    <w:rsid w:val="00CD4C90"/>
    <w:rsid w:val="00CE79C1"/>
    <w:rsid w:val="00DB65B1"/>
    <w:rsid w:val="00FC4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80"/>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562DD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2DDA"/>
    <w:rPr>
      <w:rFonts w:asciiTheme="majorHAnsi" w:eastAsiaTheme="majorEastAsia" w:hAnsiTheme="majorHAnsi" w:cstheme="majorBidi"/>
      <w:b/>
      <w:bCs/>
      <w:color w:val="5B9BD5" w:themeColor="accent1"/>
      <w:sz w:val="26"/>
      <w:szCs w:val="26"/>
      <w:lang w:eastAsia="tr-TR"/>
    </w:rPr>
  </w:style>
  <w:style w:type="table" w:customStyle="1" w:styleId="AkGlgeleme-Vurgu11">
    <w:name w:val="Açık Gölgeleme - Vurgu 11"/>
    <w:basedOn w:val="NormalTablo"/>
    <w:uiPriority w:val="60"/>
    <w:rsid w:val="00562DDA"/>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bilgi">
    <w:name w:val="header"/>
    <w:basedOn w:val="Normal"/>
    <w:link w:val="stbilgiChar"/>
    <w:uiPriority w:val="99"/>
    <w:unhideWhenUsed/>
    <w:rsid w:val="00562D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DDA"/>
    <w:rPr>
      <w:rFonts w:eastAsiaTheme="minorEastAsia"/>
      <w:lang w:eastAsia="tr-TR"/>
    </w:rPr>
  </w:style>
  <w:style w:type="paragraph" w:styleId="ResimYazs">
    <w:name w:val="caption"/>
    <w:basedOn w:val="Normal"/>
    <w:next w:val="Normal"/>
    <w:uiPriority w:val="35"/>
    <w:unhideWhenUsed/>
    <w:qFormat/>
    <w:rsid w:val="00562DDA"/>
    <w:pPr>
      <w:spacing w:line="240" w:lineRule="auto"/>
    </w:pPr>
    <w:rPr>
      <w:b/>
      <w:bCs/>
      <w:color w:val="5B9BD5" w:themeColor="accent1"/>
      <w:sz w:val="18"/>
      <w:szCs w:val="18"/>
    </w:rPr>
  </w:style>
  <w:style w:type="paragraph" w:customStyle="1" w:styleId="Default">
    <w:name w:val="Default"/>
    <w:rsid w:val="001E42D5"/>
    <w:pPr>
      <w:autoSpaceDE w:val="0"/>
      <w:autoSpaceDN w:val="0"/>
      <w:adjustRightInd w:val="0"/>
      <w:spacing w:after="0" w:line="240" w:lineRule="auto"/>
    </w:pPr>
    <w:rPr>
      <w:rFonts w:ascii="Tahoma" w:hAnsi="Tahoma" w:cs="Tahoma"/>
      <w:color w:val="000000"/>
      <w:sz w:val="24"/>
      <w:szCs w:val="24"/>
    </w:rPr>
  </w:style>
  <w:style w:type="table" w:customStyle="1" w:styleId="OrtaGlgeleme2-Vurgu11">
    <w:name w:val="Orta Gölgeleme 2 - Vurgu 1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B30C60"/>
    <w:pPr>
      <w:keepNext/>
    </w:pPr>
  </w:style>
  <w:style w:type="character" w:customStyle="1" w:styleId="rresimChar">
    <w:name w:val="rresim Char"/>
    <w:basedOn w:val="VarsaylanParagrafYazTipi"/>
    <w:link w:val="rresim"/>
    <w:rsid w:val="00B30C60"/>
    <w:rPr>
      <w:rFonts w:eastAsiaTheme="minorEastAsia"/>
      <w:lang w:eastAsia="tr-TR"/>
    </w:rPr>
  </w:style>
  <w:style w:type="character" w:styleId="DipnotBavurusu">
    <w:name w:val="footnote reference"/>
    <w:basedOn w:val="VarsaylanParagrafYazTipi"/>
    <w:uiPriority w:val="99"/>
    <w:semiHidden/>
    <w:unhideWhenUsed/>
    <w:rsid w:val="00703A47"/>
    <w:rPr>
      <w:vertAlign w:val="superscript"/>
    </w:rPr>
  </w:style>
  <w:style w:type="table" w:styleId="OrtaKlavuz3-Vurgu1">
    <w:name w:val="Medium Grid 3 Accent 1"/>
    <w:basedOn w:val="NormalTablo"/>
    <w:uiPriority w:val="69"/>
    <w:rsid w:val="00703A4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ipnotMetni">
    <w:name w:val="footnote text"/>
    <w:basedOn w:val="Normal"/>
    <w:link w:val="DipnotMetniChar"/>
    <w:uiPriority w:val="99"/>
    <w:semiHidden/>
    <w:unhideWhenUsed/>
    <w:rsid w:val="00703A47"/>
    <w:pPr>
      <w:spacing w:after="0" w:line="240" w:lineRule="auto"/>
    </w:pPr>
    <w:rPr>
      <w:rFonts w:ascii="Calibri" w:eastAsia="Calibri" w:hAnsi="Calibri" w:cs="Times New Roman"/>
      <w:sz w:val="20"/>
      <w:szCs w:val="20"/>
      <w:lang w:eastAsia="en-US"/>
    </w:rPr>
  </w:style>
  <w:style w:type="character" w:customStyle="1" w:styleId="DipnotMetniChar">
    <w:name w:val="Dipnot Metni Char"/>
    <w:basedOn w:val="VarsaylanParagrafYazTipi"/>
    <w:link w:val="DipnotMetni"/>
    <w:uiPriority w:val="99"/>
    <w:semiHidden/>
    <w:rsid w:val="00703A47"/>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B33D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3D36"/>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80"/>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562DD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2DDA"/>
    <w:rPr>
      <w:rFonts w:asciiTheme="majorHAnsi" w:eastAsiaTheme="majorEastAsia" w:hAnsiTheme="majorHAnsi" w:cstheme="majorBidi"/>
      <w:b/>
      <w:bCs/>
      <w:color w:val="5B9BD5" w:themeColor="accent1"/>
      <w:sz w:val="26"/>
      <w:szCs w:val="26"/>
      <w:lang w:eastAsia="tr-TR"/>
    </w:rPr>
  </w:style>
  <w:style w:type="table" w:customStyle="1" w:styleId="AkGlgeleme-Vurgu11">
    <w:name w:val="Açık Gölgeleme - Vurgu 11"/>
    <w:basedOn w:val="NormalTablo"/>
    <w:uiPriority w:val="60"/>
    <w:rsid w:val="00562DDA"/>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bilgi">
    <w:name w:val="header"/>
    <w:basedOn w:val="Normal"/>
    <w:link w:val="stbilgiChar"/>
    <w:uiPriority w:val="99"/>
    <w:unhideWhenUsed/>
    <w:rsid w:val="00562D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DDA"/>
    <w:rPr>
      <w:rFonts w:eastAsiaTheme="minorEastAsia"/>
      <w:lang w:eastAsia="tr-TR"/>
    </w:rPr>
  </w:style>
  <w:style w:type="paragraph" w:styleId="ResimYazs">
    <w:name w:val="caption"/>
    <w:basedOn w:val="Normal"/>
    <w:next w:val="Normal"/>
    <w:uiPriority w:val="35"/>
    <w:unhideWhenUsed/>
    <w:qFormat/>
    <w:rsid w:val="00562DDA"/>
    <w:pPr>
      <w:spacing w:line="240" w:lineRule="auto"/>
    </w:pPr>
    <w:rPr>
      <w:b/>
      <w:bCs/>
      <w:color w:val="5B9BD5" w:themeColor="accent1"/>
      <w:sz w:val="18"/>
      <w:szCs w:val="18"/>
    </w:rPr>
  </w:style>
  <w:style w:type="paragraph" w:customStyle="1" w:styleId="Default">
    <w:name w:val="Default"/>
    <w:rsid w:val="001E42D5"/>
    <w:pPr>
      <w:autoSpaceDE w:val="0"/>
      <w:autoSpaceDN w:val="0"/>
      <w:adjustRightInd w:val="0"/>
      <w:spacing w:after="0" w:line="240" w:lineRule="auto"/>
    </w:pPr>
    <w:rPr>
      <w:rFonts w:ascii="Tahoma" w:hAnsi="Tahoma" w:cs="Tahoma"/>
      <w:color w:val="000000"/>
      <w:sz w:val="24"/>
      <w:szCs w:val="24"/>
    </w:rPr>
  </w:style>
  <w:style w:type="table" w:customStyle="1" w:styleId="OrtaGlgeleme2-Vurgu11">
    <w:name w:val="Orta Gölgeleme 2 - Vurgu 1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B30C60"/>
    <w:pPr>
      <w:keepNext/>
    </w:pPr>
  </w:style>
  <w:style w:type="character" w:customStyle="1" w:styleId="rresimChar">
    <w:name w:val="rresim Char"/>
    <w:basedOn w:val="VarsaylanParagrafYazTipi"/>
    <w:link w:val="rresim"/>
    <w:rsid w:val="00B30C60"/>
    <w:rPr>
      <w:rFonts w:eastAsiaTheme="minorEastAsia"/>
      <w:lang w:eastAsia="tr-TR"/>
    </w:rPr>
  </w:style>
  <w:style w:type="character" w:styleId="DipnotBavurusu">
    <w:name w:val="footnote reference"/>
    <w:basedOn w:val="VarsaylanParagrafYazTipi"/>
    <w:uiPriority w:val="99"/>
    <w:semiHidden/>
    <w:unhideWhenUsed/>
    <w:rsid w:val="00703A47"/>
    <w:rPr>
      <w:vertAlign w:val="superscript"/>
    </w:rPr>
  </w:style>
  <w:style w:type="table" w:styleId="OrtaKlavuz3-Vurgu1">
    <w:name w:val="Medium Grid 3 Accent 1"/>
    <w:basedOn w:val="NormalTablo"/>
    <w:uiPriority w:val="69"/>
    <w:rsid w:val="00703A4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ipnotMetni">
    <w:name w:val="footnote text"/>
    <w:basedOn w:val="Normal"/>
    <w:link w:val="DipnotMetniChar"/>
    <w:uiPriority w:val="99"/>
    <w:semiHidden/>
    <w:unhideWhenUsed/>
    <w:rsid w:val="00703A47"/>
    <w:pPr>
      <w:spacing w:after="0" w:line="240" w:lineRule="auto"/>
    </w:pPr>
    <w:rPr>
      <w:rFonts w:ascii="Calibri" w:eastAsia="Calibri" w:hAnsi="Calibri" w:cs="Times New Roman"/>
      <w:sz w:val="20"/>
      <w:szCs w:val="20"/>
      <w:lang w:eastAsia="en-US"/>
    </w:rPr>
  </w:style>
  <w:style w:type="character" w:customStyle="1" w:styleId="DipnotMetniChar">
    <w:name w:val="Dipnot Metni Char"/>
    <w:basedOn w:val="VarsaylanParagrafYazTipi"/>
    <w:link w:val="DipnotMetni"/>
    <w:uiPriority w:val="99"/>
    <w:semiHidden/>
    <w:rsid w:val="00703A47"/>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B33D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3D36"/>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7.emf"/><Relationship Id="rId20" Type="http://schemas.openxmlformats.org/officeDocument/2006/relationships/chart" Target="charts/chart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7.xml"/><Relationship Id="rId10" Type="http://schemas.openxmlformats.org/officeDocument/2006/relationships/image" Target="media/image4.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jpe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Taylan%20PC\Cloud\HH_D&#305;&#351;%20Ticaret%20&#304;statistik\DT_0419\Ocak_d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aylan%20PC\Cloud\HH_D&#305;&#351;%20Ticaret%20&#304;statistik\DT_0419\Ocak_d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N20\Desktop\ENDEKS%20VE%20B&#220;LTENLER\TEPE\TEPE_2019\3.Mart.2019\TEPAV_Perakende_Anketi_Tanim_ve_Sonuclari_2019_0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N20\Desktop\ENDEKS%20VE%20B&#220;LTENLER\TEPE\TEPE_2019\3.Mart.2019\TEPAV_Perakende_Anketi_Tanim_ve_Sonuclari_2019_0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N20\Desktop\ENDEKS%20VE%20B&#220;LTENLER\TEPE\TEPE_2019\3.Mart.2019\TEPAV_Perakende_Anketi_Tanim_ve_Sonuclari_2019_00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N20\Desktop\ENDEKS%20VE%20B&#220;LTENLER\TEPE\TEPE_2019\3.Mart.2019\TEPAV_Perakende_Anketi_Tanim_ve_Sonuclari_2019_0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Sayfa1!$Q$7</c:f>
              <c:strCache>
                <c:ptCount val="1"/>
                <c:pt idx="0">
                  <c:v>2018</c:v>
                </c:pt>
              </c:strCache>
            </c:strRef>
          </c:tx>
          <c:spPr>
            <a:solidFill>
              <a:srgbClr val="00206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Sayfa1!$P$8:$P$19</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Sayfa1!$Q$8:$Q$19</c:f>
              <c:numCache>
                <c:formatCode>0.0</c:formatCode>
                <c:ptCount val="12"/>
                <c:pt idx="0">
                  <c:v>12.434097476</c:v>
                </c:pt>
                <c:pt idx="1">
                  <c:v>13.14815538</c:v>
                </c:pt>
                <c:pt idx="2">
                  <c:v>15.553486573999999</c:v>
                </c:pt>
                <c:pt idx="3">
                  <c:v>13.847121233999999</c:v>
                </c:pt>
                <c:pt idx="4">
                  <c:v>14.257234435000001</c:v>
                </c:pt>
                <c:pt idx="5">
                  <c:v>12.924686826</c:v>
                </c:pt>
                <c:pt idx="6">
                  <c:v>14.049213605</c:v>
                </c:pt>
                <c:pt idx="7">
                  <c:v>12.335157645999999</c:v>
                </c:pt>
                <c:pt idx="8">
                  <c:v>14.398674826999999</c:v>
                </c:pt>
                <c:pt idx="9">
                  <c:v>15.680936607000001</c:v>
                </c:pt>
                <c:pt idx="10">
                  <c:v>15.498081225</c:v>
                </c:pt>
                <c:pt idx="11">
                  <c:v>13.818572289999999</c:v>
                </c:pt>
              </c:numCache>
            </c:numRef>
          </c:val>
          <c:extLst xmlns:c16r2="http://schemas.microsoft.com/office/drawing/2015/06/chart">
            <c:ext xmlns:c16="http://schemas.microsoft.com/office/drawing/2014/chart" uri="{C3380CC4-5D6E-409C-BE32-E72D297353CC}">
              <c16:uniqueId val="{00000000-070A-4EC6-8A13-BFAF54D01F80}"/>
            </c:ext>
          </c:extLst>
        </c:ser>
        <c:ser>
          <c:idx val="1"/>
          <c:order val="1"/>
          <c:tx>
            <c:strRef>
              <c:f>Sayfa1!$R$7</c:f>
              <c:strCache>
                <c:ptCount val="1"/>
                <c:pt idx="0">
                  <c:v>2019</c:v>
                </c:pt>
              </c:strCache>
            </c:strRef>
          </c:tx>
          <c:spPr>
            <a:solidFill>
              <a:srgbClr val="C00000"/>
            </a:solidFill>
          </c:spPr>
          <c:invertIfNegative val="0"/>
          <c:dLbls>
            <c:dLbl>
              <c:idx val="0"/>
              <c:layout>
                <c:manualLayout>
                  <c:x val="0"/>
                  <c:y val="-1.8281535648994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0A-4EC6-8A13-BFAF54D01F80}"/>
                </c:ext>
              </c:extLst>
            </c:dLbl>
            <c:dLbl>
              <c:idx val="1"/>
              <c:layout>
                <c:manualLayout>
                  <c:x val="0"/>
                  <c:y val="-1.82815356489945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70A-4EC6-8A13-BFAF54D01F80}"/>
                </c:ext>
              </c:extLst>
            </c:dLbl>
            <c:spPr>
              <a:noFill/>
              <a:ln>
                <a:noFill/>
              </a:ln>
              <a:effectLst/>
            </c:spPr>
            <c:txPr>
              <a:bodyPr wrap="square" lIns="38100" tIns="19050" rIns="38100" bIns="19050" anchor="ctr">
                <a:spAutoFit/>
              </a:bodyPr>
              <a:lstStyle/>
              <a:p>
                <a:pPr>
                  <a:defRPr sz="1000"/>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Sayfa1!$P$8:$P$19</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Sayfa1!$R$8:$R$19</c:f>
              <c:numCache>
                <c:formatCode>0.0</c:formatCode>
                <c:ptCount val="12"/>
                <c:pt idx="0">
                  <c:v>13.190418612</c:v>
                </c:pt>
                <c:pt idx="1">
                  <c:v>13.592955852999999</c:v>
                </c:pt>
              </c:numCache>
            </c:numRef>
          </c:val>
          <c:extLst xmlns:c16r2="http://schemas.microsoft.com/office/drawing/2015/06/chart">
            <c:ext xmlns:c16="http://schemas.microsoft.com/office/drawing/2014/chart" uri="{C3380CC4-5D6E-409C-BE32-E72D297353CC}">
              <c16:uniqueId val="{00000003-070A-4EC6-8A13-BFAF54D01F80}"/>
            </c:ext>
          </c:extLst>
        </c:ser>
        <c:dLbls>
          <c:showLegendKey val="0"/>
          <c:showVal val="1"/>
          <c:showCatName val="0"/>
          <c:showSerName val="0"/>
          <c:showPercent val="0"/>
          <c:showBubbleSize val="0"/>
        </c:dLbls>
        <c:gapWidth val="150"/>
        <c:overlap val="-25"/>
        <c:axId val="46373888"/>
        <c:axId val="46629632"/>
      </c:barChart>
      <c:catAx>
        <c:axId val="46373888"/>
        <c:scaling>
          <c:orientation val="minMax"/>
        </c:scaling>
        <c:delete val="0"/>
        <c:axPos val="b"/>
        <c:numFmt formatCode="General" sourceLinked="0"/>
        <c:majorTickMark val="none"/>
        <c:minorTickMark val="none"/>
        <c:tickLblPos val="nextTo"/>
        <c:crossAx val="46629632"/>
        <c:crosses val="autoZero"/>
        <c:auto val="1"/>
        <c:lblAlgn val="ctr"/>
        <c:lblOffset val="100"/>
        <c:noMultiLvlLbl val="0"/>
      </c:catAx>
      <c:valAx>
        <c:axId val="46629632"/>
        <c:scaling>
          <c:orientation val="minMax"/>
        </c:scaling>
        <c:delete val="1"/>
        <c:axPos val="l"/>
        <c:numFmt formatCode="0.0" sourceLinked="1"/>
        <c:majorTickMark val="out"/>
        <c:minorTickMark val="none"/>
        <c:tickLblPos val="nextTo"/>
        <c:crossAx val="463738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Sayfa1!$Q$22</c:f>
              <c:strCache>
                <c:ptCount val="1"/>
                <c:pt idx="0">
                  <c:v>2018</c:v>
                </c:pt>
              </c:strCache>
            </c:strRef>
          </c:tx>
          <c:spPr>
            <a:solidFill>
              <a:srgbClr val="00206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Sayfa1!$P$23:$P$34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Sayfa1!$Q$23:$Q$34</c:f>
              <c:numCache>
                <c:formatCode>0.0</c:formatCode>
                <c:ptCount val="12"/>
                <c:pt idx="0">
                  <c:v>21.522755288999999</c:v>
                </c:pt>
                <c:pt idx="1">
                  <c:v>18.937034438000001</c:v>
                </c:pt>
                <c:pt idx="2">
                  <c:v>21.434988004000001</c:v>
                </c:pt>
                <c:pt idx="3">
                  <c:v>20.556735967999998</c:v>
                </c:pt>
                <c:pt idx="4">
                  <c:v>22.066359561000002</c:v>
                </c:pt>
                <c:pt idx="5">
                  <c:v>18.449017182999999</c:v>
                </c:pt>
                <c:pt idx="6">
                  <c:v>20.057372587</c:v>
                </c:pt>
                <c:pt idx="7">
                  <c:v>14.803784658</c:v>
                </c:pt>
                <c:pt idx="8">
                  <c:v>16.325010646999999</c:v>
                </c:pt>
                <c:pt idx="9">
                  <c:v>16.174495038</c:v>
                </c:pt>
                <c:pt idx="10">
                  <c:v>16.164122985999999</c:v>
                </c:pt>
                <c:pt idx="11">
                  <c:v>16.554447277000001</c:v>
                </c:pt>
              </c:numCache>
            </c:numRef>
          </c:val>
          <c:extLst xmlns:c16r2="http://schemas.microsoft.com/office/drawing/2015/06/chart">
            <c:ext xmlns:c16="http://schemas.microsoft.com/office/drawing/2014/chart" uri="{C3380CC4-5D6E-409C-BE32-E72D297353CC}">
              <c16:uniqueId val="{00000000-43BC-4DCF-83B6-B2EE7D78A26C}"/>
            </c:ext>
          </c:extLst>
        </c:ser>
        <c:ser>
          <c:idx val="1"/>
          <c:order val="1"/>
          <c:tx>
            <c:strRef>
              <c:f>Sayfa1!$R$22</c:f>
              <c:strCache>
                <c:ptCount val="1"/>
                <c:pt idx="0">
                  <c:v>2019</c:v>
                </c:pt>
              </c:strCache>
            </c:strRef>
          </c:tx>
          <c:spPr>
            <a:solidFill>
              <a:srgbClr val="C00000"/>
            </a:solidFill>
          </c:spPr>
          <c:invertIfNegative val="0"/>
          <c:dLbls>
            <c:dLbl>
              <c:idx val="0"/>
              <c:layout>
                <c:manualLayout>
                  <c:x val="4.3956043956043956E-3"/>
                  <c:y val="-2.0066901869033264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BC-4DCF-83B6-B2EE7D78A26C}"/>
                </c:ext>
              </c:extLst>
            </c:dLbl>
            <c:dLbl>
              <c:idx val="1"/>
              <c:layout>
                <c:manualLayout>
                  <c:x val="4.3956043956043956E-3"/>
                  <c:y val="-2.0066901869033264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3BC-4DCF-83B6-B2EE7D78A26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Sayfa1!$P$23:$P$34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Sayfa1!$R$23:$R$34</c:f>
              <c:numCache>
                <c:formatCode>0.0</c:formatCode>
                <c:ptCount val="12"/>
                <c:pt idx="0">
                  <c:v>15.671103391000001</c:v>
                </c:pt>
                <c:pt idx="1">
                  <c:v>15.727285861</c:v>
                </c:pt>
              </c:numCache>
            </c:numRef>
          </c:val>
          <c:extLst xmlns:c16r2="http://schemas.microsoft.com/office/drawing/2015/06/chart">
            <c:ext xmlns:c16="http://schemas.microsoft.com/office/drawing/2014/chart" uri="{C3380CC4-5D6E-409C-BE32-E72D297353CC}">
              <c16:uniqueId val="{00000003-43BC-4DCF-83B6-B2EE7D78A26C}"/>
            </c:ext>
          </c:extLst>
        </c:ser>
        <c:dLbls>
          <c:showLegendKey val="0"/>
          <c:showVal val="1"/>
          <c:showCatName val="0"/>
          <c:showSerName val="0"/>
          <c:showPercent val="0"/>
          <c:showBubbleSize val="0"/>
        </c:dLbls>
        <c:gapWidth val="150"/>
        <c:overlap val="-25"/>
        <c:axId val="48229760"/>
        <c:axId val="66463616"/>
      </c:barChart>
      <c:catAx>
        <c:axId val="48229760"/>
        <c:scaling>
          <c:orientation val="minMax"/>
        </c:scaling>
        <c:delete val="0"/>
        <c:axPos val="b"/>
        <c:numFmt formatCode="General" sourceLinked="0"/>
        <c:majorTickMark val="none"/>
        <c:minorTickMark val="none"/>
        <c:tickLblPos val="nextTo"/>
        <c:crossAx val="66463616"/>
        <c:crosses val="autoZero"/>
        <c:auto val="1"/>
        <c:lblAlgn val="ctr"/>
        <c:lblOffset val="100"/>
        <c:noMultiLvlLbl val="0"/>
      </c:catAx>
      <c:valAx>
        <c:axId val="66463616"/>
        <c:scaling>
          <c:orientation val="minMax"/>
        </c:scaling>
        <c:delete val="1"/>
        <c:axPos val="l"/>
        <c:numFmt formatCode="0.0" sourceLinked="1"/>
        <c:majorTickMark val="out"/>
        <c:minorTickMark val="none"/>
        <c:tickLblPos val="nextTo"/>
        <c:crossAx val="4822976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854551470916607E-2"/>
          <c:y val="3.596487939007624E-2"/>
          <c:w val="0.92247032759577829"/>
          <c:h val="0.76096394200724904"/>
        </c:manualLayout>
      </c:layout>
      <c:lineChart>
        <c:grouping val="standard"/>
        <c:varyColors val="0"/>
        <c:ser>
          <c:idx val="0"/>
          <c:order val="0"/>
          <c:tx>
            <c:strRef>
              <c:f>Sayfa1!$B$1</c:f>
              <c:strCache>
                <c:ptCount val="1"/>
                <c:pt idx="0">
                  <c:v>2018</c:v>
                </c:pt>
              </c:strCache>
            </c:strRef>
          </c:tx>
          <c:dLbls>
            <c:dLbl>
              <c:idx val="2"/>
              <c:layout>
                <c:manualLayout>
                  <c:x val="-2.0763348882861323E-2"/>
                  <c:y val="1.14979377577802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00-42F9-BAC6-797530CBD8DC}"/>
                </c:ext>
              </c:extLst>
            </c:dLbl>
            <c:dLbl>
              <c:idx val="3"/>
              <c:layout>
                <c:manualLayout>
                  <c:x val="-3.6470951616562226E-2"/>
                  <c:y val="2.34026996625421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00-42F9-BAC6-797530CBD8DC}"/>
                </c:ext>
              </c:extLst>
            </c:dLbl>
            <c:dLbl>
              <c:idx val="4"/>
              <c:layout>
                <c:manualLayout>
                  <c:x val="-3.8570898506094478E-2"/>
                  <c:y val="-3.612110986126734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600-42F9-BAC6-797530CBD8DC}"/>
                </c:ext>
              </c:extLst>
            </c:dLbl>
            <c:dLbl>
              <c:idx val="5"/>
              <c:layout>
                <c:manualLayout>
                  <c:x val="-3.8570898506094478E-2"/>
                  <c:y val="3.530746156730408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600-42F9-BAC6-797530CBD8DC}"/>
                </c:ext>
              </c:extLst>
            </c:dLbl>
            <c:dLbl>
              <c:idx val="6"/>
              <c:layout>
                <c:manualLayout>
                  <c:x val="-4.389418119598424E-2"/>
                  <c:y val="-4.40576177977752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600-42F9-BAC6-797530CBD8DC}"/>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Sayfa1!$A$2:$A$13</c:f>
              <c:strCache>
                <c:ptCount val="12"/>
                <c:pt idx="0">
                  <c:v>Ocak </c:v>
                </c:pt>
                <c:pt idx="1">
                  <c:v>Şubat</c:v>
                </c:pt>
                <c:pt idx="2">
                  <c:v>Mart</c:v>
                </c:pt>
                <c:pt idx="3">
                  <c:v>Nisan </c:v>
                </c:pt>
                <c:pt idx="4">
                  <c:v>Mayıs</c:v>
                </c:pt>
                <c:pt idx="5">
                  <c:v>Haziran </c:v>
                </c:pt>
                <c:pt idx="6">
                  <c:v>Temmuz</c:v>
                </c:pt>
                <c:pt idx="7">
                  <c:v>Ağustos</c:v>
                </c:pt>
                <c:pt idx="8">
                  <c:v>Eylül</c:v>
                </c:pt>
                <c:pt idx="9">
                  <c:v>Ekim</c:v>
                </c:pt>
                <c:pt idx="10">
                  <c:v>Kasım </c:v>
                </c:pt>
                <c:pt idx="11">
                  <c:v>Aralık</c:v>
                </c:pt>
              </c:strCache>
            </c:strRef>
          </c:cat>
          <c:val>
            <c:numRef>
              <c:f>Sayfa1!$B$2:$B$13</c:f>
              <c:numCache>
                <c:formatCode>0.0</c:formatCode>
                <c:ptCount val="12"/>
                <c:pt idx="0">
                  <c:v>72.023374543353796</c:v>
                </c:pt>
                <c:pt idx="1">
                  <c:v>72.197588814931606</c:v>
                </c:pt>
                <c:pt idx="2">
                  <c:v>71.293448754346201</c:v>
                </c:pt>
                <c:pt idx="3">
                  <c:v>71.362755512291201</c:v>
                </c:pt>
                <c:pt idx="4">
                  <c:v>69.545381702513893</c:v>
                </c:pt>
                <c:pt idx="5">
                  <c:v>70.138685437783906</c:v>
                </c:pt>
                <c:pt idx="6">
                  <c:v>72.679495938496402</c:v>
                </c:pt>
                <c:pt idx="7">
                  <c:v>68.169119451192898</c:v>
                </c:pt>
                <c:pt idx="8">
                  <c:v>59.946227251655401</c:v>
                </c:pt>
                <c:pt idx="9">
                  <c:v>57.597363255295299</c:v>
                </c:pt>
                <c:pt idx="10">
                  <c:v>60.016846210998303</c:v>
                </c:pt>
                <c:pt idx="11">
                  <c:v>58.7223140858192</c:v>
                </c:pt>
              </c:numCache>
            </c:numRef>
          </c:val>
          <c:smooth val="0"/>
          <c:extLst xmlns:c16r2="http://schemas.microsoft.com/office/drawing/2015/06/chart">
            <c:ext xmlns:c16="http://schemas.microsoft.com/office/drawing/2014/chart" uri="{C3380CC4-5D6E-409C-BE32-E72D297353CC}">
              <c16:uniqueId val="{00000005-A600-42F9-BAC6-797530CBD8DC}"/>
            </c:ext>
          </c:extLst>
        </c:ser>
        <c:ser>
          <c:idx val="1"/>
          <c:order val="1"/>
          <c:tx>
            <c:strRef>
              <c:f>Sayfa1!$C$1</c:f>
              <c:strCache>
                <c:ptCount val="1"/>
                <c:pt idx="0">
                  <c:v>2019</c:v>
                </c:pt>
              </c:strCache>
            </c:strRef>
          </c:tx>
          <c:dLbls>
            <c:dLbl>
              <c:idx val="0"/>
              <c:layout>
                <c:manualLayout>
                  <c:x val="-4.3867515710379015E-2"/>
                  <c:y val="-4.40576177977752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600-42F9-BAC6-797530CBD8DC}"/>
                </c:ext>
              </c:extLst>
            </c:dLbl>
            <c:dLbl>
              <c:idx val="1"/>
              <c:layout>
                <c:manualLayout>
                  <c:x val="-4.3867515710379015E-2"/>
                  <c:y val="5.514873140857388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600-42F9-BAC6-797530CBD8DC}"/>
                </c:ext>
              </c:extLst>
            </c:dLbl>
            <c:dLbl>
              <c:idx val="2"/>
              <c:layout>
                <c:manualLayout>
                  <c:x val="-4.5998923239831131E-2"/>
                  <c:y val="-4.008936382952130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600-42F9-BAC6-797530CBD8DC}"/>
                </c:ext>
              </c:extLst>
            </c:dLbl>
            <c:dLbl>
              <c:idx val="5"/>
              <c:layout>
                <c:manualLayout>
                  <c:x val="-2.2196438622355472E-2"/>
                  <c:y val="-3.21528558930133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600-42F9-BAC6-797530CBD8DC}"/>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Sayfa1!$A$2:$A$13</c:f>
              <c:strCache>
                <c:ptCount val="12"/>
                <c:pt idx="0">
                  <c:v>Ocak </c:v>
                </c:pt>
                <c:pt idx="1">
                  <c:v>Şubat</c:v>
                </c:pt>
                <c:pt idx="2">
                  <c:v>Mart</c:v>
                </c:pt>
                <c:pt idx="3">
                  <c:v>Nisan </c:v>
                </c:pt>
                <c:pt idx="4">
                  <c:v>Mayıs</c:v>
                </c:pt>
                <c:pt idx="5">
                  <c:v>Haziran </c:v>
                </c:pt>
                <c:pt idx="6">
                  <c:v>Temmuz</c:v>
                </c:pt>
                <c:pt idx="7">
                  <c:v>Ağustos</c:v>
                </c:pt>
                <c:pt idx="8">
                  <c:v>Eylül</c:v>
                </c:pt>
                <c:pt idx="9">
                  <c:v>Ekim</c:v>
                </c:pt>
                <c:pt idx="10">
                  <c:v>Kasım </c:v>
                </c:pt>
                <c:pt idx="11">
                  <c:v>Aralık</c:v>
                </c:pt>
              </c:strCache>
            </c:strRef>
          </c:cat>
          <c:val>
            <c:numRef>
              <c:f>Sayfa1!$C$2:$C$13</c:f>
              <c:numCache>
                <c:formatCode>0.0</c:formatCode>
                <c:ptCount val="12"/>
                <c:pt idx="0">
                  <c:v>58.202542119357197</c:v>
                </c:pt>
                <c:pt idx="1">
                  <c:v>57.792914274458397</c:v>
                </c:pt>
                <c:pt idx="2">
                  <c:v>59.445785864703197</c:v>
                </c:pt>
              </c:numCache>
            </c:numRef>
          </c:val>
          <c:smooth val="0"/>
          <c:extLst xmlns:c16r2="http://schemas.microsoft.com/office/drawing/2015/06/chart">
            <c:ext xmlns:c16="http://schemas.microsoft.com/office/drawing/2014/chart" uri="{C3380CC4-5D6E-409C-BE32-E72D297353CC}">
              <c16:uniqueId val="{0000000A-A600-42F9-BAC6-797530CBD8DC}"/>
            </c:ext>
          </c:extLst>
        </c:ser>
        <c:dLbls>
          <c:showLegendKey val="0"/>
          <c:showVal val="1"/>
          <c:showCatName val="0"/>
          <c:showSerName val="0"/>
          <c:showPercent val="0"/>
          <c:showBubbleSize val="0"/>
        </c:dLbls>
        <c:marker val="1"/>
        <c:smooth val="0"/>
        <c:axId val="80039936"/>
        <c:axId val="80042240"/>
      </c:lineChart>
      <c:catAx>
        <c:axId val="80039936"/>
        <c:scaling>
          <c:orientation val="minMax"/>
        </c:scaling>
        <c:delete val="0"/>
        <c:axPos val="b"/>
        <c:numFmt formatCode="General" sourceLinked="0"/>
        <c:majorTickMark val="out"/>
        <c:minorTickMark val="none"/>
        <c:tickLblPos val="nextTo"/>
        <c:crossAx val="80042240"/>
        <c:crosses val="autoZero"/>
        <c:auto val="1"/>
        <c:lblAlgn val="ctr"/>
        <c:lblOffset val="100"/>
        <c:noMultiLvlLbl val="0"/>
      </c:catAx>
      <c:valAx>
        <c:axId val="80042240"/>
        <c:scaling>
          <c:orientation val="minMax"/>
          <c:min val="55"/>
        </c:scaling>
        <c:delete val="0"/>
        <c:axPos val="l"/>
        <c:numFmt formatCode="0.0" sourceLinked="1"/>
        <c:majorTickMark val="out"/>
        <c:minorTickMark val="none"/>
        <c:tickLblPos val="nextTo"/>
        <c:crossAx val="80039936"/>
        <c:crosses val="autoZero"/>
        <c:crossBetween val="between"/>
        <c:majorUnit val="5"/>
      </c:valAx>
      <c:spPr>
        <a:ln>
          <a:noFill/>
        </a:ln>
      </c:spPr>
    </c:plotArea>
    <c:legend>
      <c:legendPos val="b"/>
      <c:overlay val="0"/>
    </c:legend>
    <c:plotVisOnly val="1"/>
    <c:dispBlanksAs val="gap"/>
    <c:showDLblsOverMax val="0"/>
  </c:chart>
  <c:spPr>
    <a:ln w="3175">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51557093425642E-2"/>
          <c:y val="0.27893175074183979"/>
          <c:w val="0.8837918096776366"/>
          <c:h val="0.55029857843332464"/>
        </c:manualLayout>
      </c:layout>
      <c:lineChart>
        <c:grouping val="standard"/>
        <c:varyColors val="0"/>
        <c:ser>
          <c:idx val="0"/>
          <c:order val="0"/>
          <c:tx>
            <c:strRef>
              <c:f>'TEPAV Perakende Güven Endeksi'!$A$3</c:f>
              <c:strCache>
                <c:ptCount val="1"/>
                <c:pt idx="0">
                  <c:v> TEPE</c:v>
                </c:pt>
              </c:strCache>
            </c:strRef>
          </c:tx>
          <c:spPr>
            <a:ln w="38100">
              <a:solidFill>
                <a:srgbClr val="FF0000"/>
              </a:solidFill>
            </a:ln>
          </c:spPr>
          <c:marker>
            <c:symbol val="none"/>
          </c:marker>
          <c:cat>
            <c:numRef>
              <c:f>'TEPAV Perakende Güven Endeksi'!$DP$1:$EB$1</c:f>
              <c:numCache>
                <c:formatCode>[$-41F]mmmm\ yy;@</c:formatCode>
                <c:ptCount val="13"/>
                <c:pt idx="0">
                  <c:v>43162</c:v>
                </c:pt>
                <c:pt idx="1">
                  <c:v>43193</c:v>
                </c:pt>
                <c:pt idx="2">
                  <c:v>43223</c:v>
                </c:pt>
                <c:pt idx="3">
                  <c:v>43254</c:v>
                </c:pt>
                <c:pt idx="4">
                  <c:v>43284</c:v>
                </c:pt>
                <c:pt idx="5">
                  <c:v>43315</c:v>
                </c:pt>
                <c:pt idx="6">
                  <c:v>43346</c:v>
                </c:pt>
                <c:pt idx="7">
                  <c:v>43376</c:v>
                </c:pt>
                <c:pt idx="8">
                  <c:v>43407</c:v>
                </c:pt>
                <c:pt idx="9">
                  <c:v>43437</c:v>
                </c:pt>
                <c:pt idx="10">
                  <c:v>43468</c:v>
                </c:pt>
                <c:pt idx="11">
                  <c:v>43499</c:v>
                </c:pt>
                <c:pt idx="12">
                  <c:v>43527</c:v>
                </c:pt>
              </c:numCache>
            </c:numRef>
          </c:cat>
          <c:val>
            <c:numRef>
              <c:f>'TEPAV Perakende Güven Endeksi'!$DP$3:$EB$3</c:f>
              <c:numCache>
                <c:formatCode>0.0</c:formatCode>
                <c:ptCount val="13"/>
                <c:pt idx="0">
                  <c:v>-12.53723755596239</c:v>
                </c:pt>
                <c:pt idx="1">
                  <c:v>-16.780601728569433</c:v>
                </c:pt>
                <c:pt idx="2">
                  <c:v>-17.023087493085498</c:v>
                </c:pt>
                <c:pt idx="3">
                  <c:v>-14.063117528342458</c:v>
                </c:pt>
                <c:pt idx="4">
                  <c:v>-11.531368804362856</c:v>
                </c:pt>
                <c:pt idx="5">
                  <c:v>-15.853389692478231</c:v>
                </c:pt>
                <c:pt idx="6">
                  <c:v>-16.304318602830833</c:v>
                </c:pt>
                <c:pt idx="7">
                  <c:v>-16.845957769876133</c:v>
                </c:pt>
                <c:pt idx="8">
                  <c:v>-17.745197073629601</c:v>
                </c:pt>
                <c:pt idx="9">
                  <c:v>-5.4430858506624</c:v>
                </c:pt>
                <c:pt idx="10">
                  <c:v>-18.979224549882264</c:v>
                </c:pt>
                <c:pt idx="11">
                  <c:v>-21.747402570651669</c:v>
                </c:pt>
                <c:pt idx="12">
                  <c:v>-15.007907006025668</c:v>
                </c:pt>
              </c:numCache>
            </c:numRef>
          </c:val>
          <c:smooth val="0"/>
          <c:extLst xmlns:c16r2="http://schemas.microsoft.com/office/drawing/2015/06/chart">
            <c:ext xmlns:c16="http://schemas.microsoft.com/office/drawing/2014/chart" uri="{C3380CC4-5D6E-409C-BE32-E72D297353CC}">
              <c16:uniqueId val="{00000000-9D62-42CC-B4A5-E5D9D7CD9202}"/>
            </c:ext>
          </c:extLst>
        </c:ser>
        <c:dLbls>
          <c:showLegendKey val="0"/>
          <c:showVal val="0"/>
          <c:showCatName val="0"/>
          <c:showSerName val="0"/>
          <c:showPercent val="0"/>
          <c:showBubbleSize val="0"/>
        </c:dLbls>
        <c:marker val="1"/>
        <c:smooth val="0"/>
        <c:axId val="84612224"/>
        <c:axId val="84613760"/>
      </c:lineChart>
      <c:dateAx>
        <c:axId val="84612224"/>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lang="en-US" b="1" i="0" baseline="0"/>
            </a:pPr>
            <a:endParaRPr lang="tr-TR"/>
          </a:p>
        </c:txPr>
        <c:crossAx val="84613760"/>
        <c:crosses val="autoZero"/>
        <c:auto val="1"/>
        <c:lblOffset val="100"/>
        <c:baseTimeUnit val="months"/>
      </c:dateAx>
      <c:valAx>
        <c:axId val="84613760"/>
        <c:scaling>
          <c:orientation val="minMax"/>
        </c:scaling>
        <c:delete val="0"/>
        <c:axPos val="l"/>
        <c:majorGridlines>
          <c:spPr>
            <a:ln w="3175">
              <a:prstDash val="dash"/>
            </a:ln>
          </c:spPr>
        </c:majorGridlines>
        <c:numFmt formatCode="0.0" sourceLinked="0"/>
        <c:majorTickMark val="out"/>
        <c:minorTickMark val="none"/>
        <c:tickLblPos val="nextTo"/>
        <c:spPr>
          <a:ln w="19050">
            <a:solidFill>
              <a:sysClr val="windowText" lastClr="000000"/>
            </a:solidFill>
          </a:ln>
        </c:spPr>
        <c:txPr>
          <a:bodyPr/>
          <a:lstStyle/>
          <a:p>
            <a:pPr>
              <a:defRPr lang="en-US" b="1" i="0" baseline="0"/>
            </a:pPr>
            <a:endParaRPr lang="tr-TR"/>
          </a:p>
        </c:txPr>
        <c:crossAx val="84612224"/>
        <c:crosses val="autoZero"/>
        <c:crossBetween val="between"/>
      </c:valAx>
    </c:plotArea>
    <c:legend>
      <c:legendPos val="b"/>
      <c:layout>
        <c:manualLayout>
          <c:xMode val="edge"/>
          <c:yMode val="edge"/>
          <c:x val="0.10478835600095443"/>
          <c:y val="0.88070043714430024"/>
          <c:w val="0.81662585621919481"/>
          <c:h val="8.9078391063186213E-2"/>
        </c:manualLayout>
      </c:layout>
      <c:overlay val="0"/>
      <c:txPr>
        <a:bodyPr/>
        <a:lstStyle/>
        <a:p>
          <a:pPr>
            <a:defRPr lang="en-US"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381987375545123E-2"/>
          <c:y val="0.27893175074183979"/>
          <c:w val="0.87117259929285651"/>
          <c:h val="0.55029857843332464"/>
        </c:manualLayout>
      </c:layout>
      <c:lineChart>
        <c:grouping val="standard"/>
        <c:varyColors val="0"/>
        <c:ser>
          <c:idx val="1"/>
          <c:order val="0"/>
          <c:tx>
            <c:strRef>
              <c:f>'Soru 4'!$A$3</c:f>
              <c:strCache>
                <c:ptCount val="1"/>
                <c:pt idx="0">
                  <c:v> Türkiye</c:v>
                </c:pt>
              </c:strCache>
            </c:strRef>
          </c:tx>
          <c:spPr>
            <a:ln w="38100">
              <a:solidFill>
                <a:srgbClr val="FF0000"/>
              </a:solidFill>
            </a:ln>
          </c:spPr>
          <c:marker>
            <c:symbol val="none"/>
          </c:marker>
          <c:cat>
            <c:numRef>
              <c:f>'Soru 4'!$DP$1:$EB$1</c:f>
              <c:numCache>
                <c:formatCode>[$-41F]mmmm\ yy;@</c:formatCode>
                <c:ptCount val="13"/>
                <c:pt idx="0">
                  <c:v>43162</c:v>
                </c:pt>
                <c:pt idx="1">
                  <c:v>43193</c:v>
                </c:pt>
                <c:pt idx="2">
                  <c:v>43223</c:v>
                </c:pt>
                <c:pt idx="3">
                  <c:v>43254</c:v>
                </c:pt>
                <c:pt idx="4">
                  <c:v>43284</c:v>
                </c:pt>
                <c:pt idx="5">
                  <c:v>43315</c:v>
                </c:pt>
                <c:pt idx="6">
                  <c:v>43346</c:v>
                </c:pt>
                <c:pt idx="7">
                  <c:v>43376</c:v>
                </c:pt>
                <c:pt idx="8">
                  <c:v>43407</c:v>
                </c:pt>
                <c:pt idx="9">
                  <c:v>43437</c:v>
                </c:pt>
                <c:pt idx="10">
                  <c:v>43468</c:v>
                </c:pt>
                <c:pt idx="11">
                  <c:v>43499</c:v>
                </c:pt>
                <c:pt idx="12">
                  <c:v>43527</c:v>
                </c:pt>
              </c:numCache>
            </c:numRef>
          </c:cat>
          <c:val>
            <c:numRef>
              <c:f>'Soru 4'!$DP$3:$EB$3</c:f>
              <c:numCache>
                <c:formatCode>0.0</c:formatCode>
                <c:ptCount val="13"/>
                <c:pt idx="0">
                  <c:v>-5.0715435450495701</c:v>
                </c:pt>
                <c:pt idx="1">
                  <c:v>-11.175983577226599</c:v>
                </c:pt>
                <c:pt idx="2">
                  <c:v>-14.3412525954008</c:v>
                </c:pt>
                <c:pt idx="3">
                  <c:v>-1.2861026919798699</c:v>
                </c:pt>
                <c:pt idx="4">
                  <c:v>-5.3660869967025704</c:v>
                </c:pt>
                <c:pt idx="5">
                  <c:v>-17.258033871865901</c:v>
                </c:pt>
                <c:pt idx="6">
                  <c:v>-15.2631817031378</c:v>
                </c:pt>
                <c:pt idx="7">
                  <c:v>-19.190599729676201</c:v>
                </c:pt>
                <c:pt idx="8">
                  <c:v>-15.735602889060001</c:v>
                </c:pt>
                <c:pt idx="9">
                  <c:v>18.583888808424302</c:v>
                </c:pt>
                <c:pt idx="10">
                  <c:v>-17.331467921439</c:v>
                </c:pt>
                <c:pt idx="11">
                  <c:v>-27.2748902701193</c:v>
                </c:pt>
                <c:pt idx="12">
                  <c:v>-11.1851302311425</c:v>
                </c:pt>
              </c:numCache>
            </c:numRef>
          </c:val>
          <c:smooth val="0"/>
          <c:extLst xmlns:c16r2="http://schemas.microsoft.com/office/drawing/2015/06/chart">
            <c:ext xmlns:c16="http://schemas.microsoft.com/office/drawing/2014/chart" uri="{C3380CC4-5D6E-409C-BE32-E72D297353CC}">
              <c16:uniqueId val="{00000000-2C35-472E-BD84-BBF44D2E0865}"/>
            </c:ext>
          </c:extLst>
        </c:ser>
        <c:ser>
          <c:idx val="0"/>
          <c:order val="1"/>
          <c:tx>
            <c:strRef>
              <c:f>'Soru 4'!$A$4</c:f>
              <c:strCache>
                <c:ptCount val="1"/>
                <c:pt idx="0">
                  <c:v> AB-28</c:v>
                </c:pt>
              </c:strCache>
            </c:strRef>
          </c:tx>
          <c:spPr>
            <a:ln w="38100">
              <a:solidFill>
                <a:srgbClr val="0070C0"/>
              </a:solidFill>
            </a:ln>
          </c:spPr>
          <c:marker>
            <c:symbol val="none"/>
          </c:marker>
          <c:cat>
            <c:numRef>
              <c:f>'Soru 4'!$DP$1:$EB$1</c:f>
              <c:numCache>
                <c:formatCode>[$-41F]mmmm\ yy;@</c:formatCode>
                <c:ptCount val="13"/>
                <c:pt idx="0">
                  <c:v>43162</c:v>
                </c:pt>
                <c:pt idx="1">
                  <c:v>43193</c:v>
                </c:pt>
                <c:pt idx="2">
                  <c:v>43223</c:v>
                </c:pt>
                <c:pt idx="3">
                  <c:v>43254</c:v>
                </c:pt>
                <c:pt idx="4">
                  <c:v>43284</c:v>
                </c:pt>
                <c:pt idx="5">
                  <c:v>43315</c:v>
                </c:pt>
                <c:pt idx="6">
                  <c:v>43346</c:v>
                </c:pt>
                <c:pt idx="7">
                  <c:v>43376</c:v>
                </c:pt>
                <c:pt idx="8">
                  <c:v>43407</c:v>
                </c:pt>
                <c:pt idx="9">
                  <c:v>43437</c:v>
                </c:pt>
                <c:pt idx="10">
                  <c:v>43468</c:v>
                </c:pt>
                <c:pt idx="11">
                  <c:v>43499</c:v>
                </c:pt>
                <c:pt idx="12">
                  <c:v>43527</c:v>
                </c:pt>
              </c:numCache>
            </c:numRef>
          </c:cat>
          <c:val>
            <c:numRef>
              <c:f>'Soru 4'!$DP$4:$EB$4</c:f>
              <c:numCache>
                <c:formatCode>#,##0.0</c:formatCode>
                <c:ptCount val="13"/>
                <c:pt idx="0">
                  <c:v>14.5</c:v>
                </c:pt>
                <c:pt idx="1">
                  <c:v>14.1</c:v>
                </c:pt>
                <c:pt idx="2">
                  <c:v>15.3</c:v>
                </c:pt>
                <c:pt idx="3">
                  <c:v>16</c:v>
                </c:pt>
                <c:pt idx="4">
                  <c:v>14.8</c:v>
                </c:pt>
                <c:pt idx="5">
                  <c:v>16.399999999999999</c:v>
                </c:pt>
                <c:pt idx="6">
                  <c:v>15</c:v>
                </c:pt>
                <c:pt idx="7">
                  <c:v>11</c:v>
                </c:pt>
                <c:pt idx="8">
                  <c:v>13</c:v>
                </c:pt>
                <c:pt idx="9">
                  <c:v>8.6999999999999993</c:v>
                </c:pt>
                <c:pt idx="10">
                  <c:v>9.1</c:v>
                </c:pt>
                <c:pt idx="11">
                  <c:v>9.9</c:v>
                </c:pt>
                <c:pt idx="12">
                  <c:v>11</c:v>
                </c:pt>
              </c:numCache>
            </c:numRef>
          </c:val>
          <c:smooth val="0"/>
          <c:extLst xmlns:c16r2="http://schemas.microsoft.com/office/drawing/2015/06/chart">
            <c:ext xmlns:c16="http://schemas.microsoft.com/office/drawing/2014/chart" uri="{C3380CC4-5D6E-409C-BE32-E72D297353CC}">
              <c16:uniqueId val="{00000001-2C35-472E-BD84-BBF44D2E0865}"/>
            </c:ext>
          </c:extLst>
        </c:ser>
        <c:dLbls>
          <c:showLegendKey val="0"/>
          <c:showVal val="0"/>
          <c:showCatName val="0"/>
          <c:showSerName val="0"/>
          <c:showPercent val="0"/>
          <c:showBubbleSize val="0"/>
        </c:dLbls>
        <c:marker val="1"/>
        <c:smooth val="0"/>
        <c:axId val="91607808"/>
        <c:axId val="91609728"/>
      </c:lineChart>
      <c:dateAx>
        <c:axId val="91607808"/>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lang="en-US" b="1" i="0" baseline="0"/>
            </a:pPr>
            <a:endParaRPr lang="tr-TR"/>
          </a:p>
        </c:txPr>
        <c:crossAx val="91609728"/>
        <c:crosses val="autoZero"/>
        <c:auto val="1"/>
        <c:lblOffset val="100"/>
        <c:baseTimeUnit val="months"/>
      </c:dateAx>
      <c:valAx>
        <c:axId val="91609728"/>
        <c:scaling>
          <c:orientation val="minMax"/>
        </c:scaling>
        <c:delete val="0"/>
        <c:axPos val="l"/>
        <c:majorGridlines>
          <c:spPr>
            <a:ln w="3175">
              <a:prstDash val="dash"/>
            </a:ln>
          </c:spPr>
        </c:majorGridlines>
        <c:numFmt formatCode="0.0" sourceLinked="0"/>
        <c:majorTickMark val="out"/>
        <c:minorTickMark val="none"/>
        <c:tickLblPos val="nextTo"/>
        <c:spPr>
          <a:ln w="19050">
            <a:solidFill>
              <a:sysClr val="windowText" lastClr="000000"/>
            </a:solidFill>
          </a:ln>
        </c:spPr>
        <c:txPr>
          <a:bodyPr/>
          <a:lstStyle/>
          <a:p>
            <a:pPr>
              <a:defRPr lang="en-US" b="1" i="0" baseline="0"/>
            </a:pPr>
            <a:endParaRPr lang="tr-TR"/>
          </a:p>
        </c:txPr>
        <c:crossAx val="91607808"/>
        <c:crosses val="autoZero"/>
        <c:crossBetween val="between"/>
        <c:majorUnit val="10"/>
      </c:valAx>
    </c:plotArea>
    <c:legend>
      <c:legendPos val="b"/>
      <c:layout>
        <c:manualLayout>
          <c:xMode val="edge"/>
          <c:yMode val="edge"/>
          <c:x val="7.6619769636233487E-2"/>
          <c:y val="0.88287256735048592"/>
          <c:w val="0.89999991323401596"/>
          <c:h val="8.0637294920074765E-2"/>
        </c:manualLayout>
      </c:layout>
      <c:overlay val="0"/>
      <c:txPr>
        <a:bodyPr/>
        <a:lstStyle/>
        <a:p>
          <a:pPr>
            <a:defRPr lang="en-US"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51557093425611E-2"/>
          <c:y val="0.27893175074183979"/>
          <c:w val="0.89610630509750877"/>
          <c:h val="0.55029857843332464"/>
        </c:manualLayout>
      </c:layout>
      <c:lineChart>
        <c:grouping val="standard"/>
        <c:varyColors val="0"/>
        <c:ser>
          <c:idx val="0"/>
          <c:order val="0"/>
          <c:tx>
            <c:strRef>
              <c:f>'Soru 7'!$A$3</c:f>
              <c:strCache>
                <c:ptCount val="1"/>
                <c:pt idx="0">
                  <c:v> Türkiye</c:v>
                </c:pt>
              </c:strCache>
            </c:strRef>
          </c:tx>
          <c:spPr>
            <a:ln w="34925">
              <a:solidFill>
                <a:srgbClr val="FF0000"/>
              </a:solidFill>
            </a:ln>
          </c:spPr>
          <c:marker>
            <c:symbol val="none"/>
          </c:marker>
          <c:cat>
            <c:numRef>
              <c:f>'Soru 7'!$DP$1:$EB$1</c:f>
              <c:numCache>
                <c:formatCode>[$-41F]mmmm\ yy;@</c:formatCode>
                <c:ptCount val="13"/>
                <c:pt idx="0">
                  <c:v>43162</c:v>
                </c:pt>
                <c:pt idx="1">
                  <c:v>43193</c:v>
                </c:pt>
                <c:pt idx="2">
                  <c:v>43223</c:v>
                </c:pt>
                <c:pt idx="3">
                  <c:v>43254</c:v>
                </c:pt>
                <c:pt idx="4">
                  <c:v>43284</c:v>
                </c:pt>
                <c:pt idx="5">
                  <c:v>43315</c:v>
                </c:pt>
                <c:pt idx="6">
                  <c:v>43346</c:v>
                </c:pt>
                <c:pt idx="7">
                  <c:v>43376</c:v>
                </c:pt>
                <c:pt idx="8">
                  <c:v>43407</c:v>
                </c:pt>
                <c:pt idx="9">
                  <c:v>43437</c:v>
                </c:pt>
                <c:pt idx="10">
                  <c:v>43468</c:v>
                </c:pt>
                <c:pt idx="11">
                  <c:v>43499</c:v>
                </c:pt>
                <c:pt idx="12">
                  <c:v>43527</c:v>
                </c:pt>
              </c:numCache>
            </c:numRef>
          </c:cat>
          <c:val>
            <c:numRef>
              <c:f>'Soru 7'!$DP$3:$EB$3</c:f>
              <c:numCache>
                <c:formatCode>0.0</c:formatCode>
                <c:ptCount val="13"/>
                <c:pt idx="0">
                  <c:v>-31.1</c:v>
                </c:pt>
                <c:pt idx="1">
                  <c:v>-31.3</c:v>
                </c:pt>
                <c:pt idx="2">
                  <c:v>-31.7</c:v>
                </c:pt>
                <c:pt idx="3">
                  <c:v>-25.8</c:v>
                </c:pt>
                <c:pt idx="4">
                  <c:v>-30.5</c:v>
                </c:pt>
                <c:pt idx="5">
                  <c:v>-34.5</c:v>
                </c:pt>
                <c:pt idx="6">
                  <c:v>-43.5</c:v>
                </c:pt>
                <c:pt idx="7">
                  <c:v>-54.3</c:v>
                </c:pt>
                <c:pt idx="8">
                  <c:v>-59</c:v>
                </c:pt>
                <c:pt idx="9">
                  <c:v>-33.5</c:v>
                </c:pt>
                <c:pt idx="10">
                  <c:v>-54.1</c:v>
                </c:pt>
                <c:pt idx="11">
                  <c:v>-51.4</c:v>
                </c:pt>
                <c:pt idx="12">
                  <c:v>-35.299999999999997</c:v>
                </c:pt>
              </c:numCache>
            </c:numRef>
          </c:val>
          <c:smooth val="0"/>
          <c:extLst xmlns:c16r2="http://schemas.microsoft.com/office/drawing/2015/06/chart">
            <c:ext xmlns:c16="http://schemas.microsoft.com/office/drawing/2014/chart" uri="{C3380CC4-5D6E-409C-BE32-E72D297353CC}">
              <c16:uniqueId val="{00000000-2315-4D66-947A-CBE2EE8F5190}"/>
            </c:ext>
          </c:extLst>
        </c:ser>
        <c:dLbls>
          <c:showLegendKey val="0"/>
          <c:showVal val="0"/>
          <c:showCatName val="0"/>
          <c:showSerName val="0"/>
          <c:showPercent val="0"/>
          <c:showBubbleSize val="0"/>
        </c:dLbls>
        <c:marker val="1"/>
        <c:smooth val="0"/>
        <c:axId val="124773888"/>
        <c:axId val="124775808"/>
      </c:lineChart>
      <c:dateAx>
        <c:axId val="124773888"/>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lang="en-US" b="1" i="0" baseline="0"/>
            </a:pPr>
            <a:endParaRPr lang="tr-TR"/>
          </a:p>
        </c:txPr>
        <c:crossAx val="124775808"/>
        <c:crosses val="autoZero"/>
        <c:auto val="1"/>
        <c:lblOffset val="100"/>
        <c:baseTimeUnit val="months"/>
      </c:dateAx>
      <c:valAx>
        <c:axId val="124775808"/>
        <c:scaling>
          <c:orientation val="minMax"/>
        </c:scaling>
        <c:delete val="0"/>
        <c:axPos val="l"/>
        <c:majorGridlines>
          <c:spPr>
            <a:ln w="3175">
              <a:prstDash val="dash"/>
            </a:ln>
          </c:spPr>
        </c:majorGridlines>
        <c:numFmt formatCode="0.0" sourceLinked="0"/>
        <c:majorTickMark val="out"/>
        <c:minorTickMark val="none"/>
        <c:tickLblPos val="nextTo"/>
        <c:spPr>
          <a:ln w="19050">
            <a:solidFill>
              <a:sysClr val="windowText" lastClr="000000"/>
            </a:solidFill>
          </a:ln>
        </c:spPr>
        <c:txPr>
          <a:bodyPr/>
          <a:lstStyle/>
          <a:p>
            <a:pPr>
              <a:defRPr lang="en-US" b="1" i="0" baseline="0"/>
            </a:pPr>
            <a:endParaRPr lang="tr-TR"/>
          </a:p>
        </c:txPr>
        <c:crossAx val="124773888"/>
        <c:crosses val="autoZero"/>
        <c:crossBetween val="between"/>
        <c:majorUnit val="10"/>
      </c:valAx>
    </c:plotArea>
    <c:legend>
      <c:legendPos val="b"/>
      <c:layout>
        <c:manualLayout>
          <c:xMode val="edge"/>
          <c:yMode val="edge"/>
          <c:x val="2.6352804554139249E-2"/>
          <c:y val="0.8828728227153424"/>
          <c:w val="0.94628090496952344"/>
          <c:h val="8.7674731567644965E-2"/>
        </c:manualLayout>
      </c:layout>
      <c:overlay val="0"/>
      <c:txPr>
        <a:bodyPr/>
        <a:lstStyle/>
        <a:p>
          <a:pPr>
            <a:defRPr lang="en-US"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0"/>
                  <c:y val="7.866273352999213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42-4A85-965E-1538506DC893}"/>
                </c:ext>
              </c:extLst>
            </c:dLbl>
            <c:dLbl>
              <c:idx val="1"/>
              <c:layout>
                <c:manualLayout>
                  <c:x val="0"/>
                  <c:y val="1.18003391169024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42-4A85-965E-1538506DC893}"/>
                </c:ext>
              </c:extLst>
            </c:dLbl>
            <c:dLbl>
              <c:idx val="2"/>
              <c:layout>
                <c:manualLayout>
                  <c:x val="2.140241729043129E-3"/>
                  <c:y val="1.57334757934019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42-4A85-965E-1538506DC893}"/>
                </c:ext>
              </c:extLst>
            </c:dLbl>
            <c:dLbl>
              <c:idx val="3"/>
              <c:layout>
                <c:manualLayout>
                  <c:x val="0"/>
                  <c:y val="1.18015779001079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42-4A85-965E-1538506DC893}"/>
                </c:ext>
              </c:extLst>
            </c:dLbl>
            <c:dLbl>
              <c:idx val="4"/>
              <c:layout>
                <c:manualLayout>
                  <c:x val="8.2628560318849325E-5"/>
                  <c:y val="1.1799719725299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42-4A85-965E-1538506DC893}"/>
                </c:ext>
              </c:extLst>
            </c:dLbl>
            <c:dLbl>
              <c:idx val="5"/>
              <c:layout>
                <c:manualLayout>
                  <c:x val="0"/>
                  <c:y val="1.18000294211013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42-4A85-965E-1538506DC893}"/>
                </c:ext>
              </c:extLst>
            </c:dLbl>
            <c:dLbl>
              <c:idx val="6"/>
              <c:layout>
                <c:manualLayout>
                  <c:x val="0"/>
                  <c:y val="1.1799719725299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242-4A85-965E-1538506DC893}"/>
                </c:ext>
              </c:extLst>
            </c:dLbl>
            <c:numFmt formatCode="0.0" sourceLinked="0"/>
            <c:spPr>
              <a:noFill/>
              <a:ln>
                <a:noFill/>
              </a:ln>
              <a:effectLst/>
            </c:spPr>
            <c:txPr>
              <a:bodyPr/>
              <a:lstStyle/>
              <a:p>
                <a:pPr>
                  <a:defRPr lang="en-US" b="1"/>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'1-2-4'!$AZ$75:$AZ$81</c:f>
              <c:strCache>
                <c:ptCount val="7"/>
                <c:pt idx="0">
                  <c:v>Birden fazla türde ürün satan bakkal, market ve büyük mağazalar </c:v>
                </c:pt>
                <c:pt idx="1">
                  <c:v>Tekstil, hazır giyim ve ayakkabı</c:v>
                </c:pt>
                <c:pt idx="2">
                  <c:v>Elektrikli ev aletleri, radyo ve televizyonlar</c:v>
                </c:pt>
                <c:pt idx="3">
                  <c:v>Diğer</c:v>
                </c:pt>
                <c:pt idx="4">
                  <c:v>Motorlu taşıtlar</c:v>
                </c:pt>
                <c:pt idx="5">
                  <c:v>BYS mobilya, aydınlatma ekipmanı ve ev içi kullanım ürünleri </c:v>
                </c:pt>
                <c:pt idx="6">
                  <c:v>Yiyecek, içecek ve tütün ürünleri </c:v>
                </c:pt>
              </c:strCache>
            </c:strRef>
          </c:cat>
          <c:val>
            <c:numRef>
              <c:f>'1-2-4'!$BA$75:$BA$81</c:f>
              <c:numCache>
                <c:formatCode>0.0</c:formatCode>
                <c:ptCount val="7"/>
                <c:pt idx="0">
                  <c:v>10.016219365109533</c:v>
                </c:pt>
                <c:pt idx="1">
                  <c:v>6.6006018025436948</c:v>
                </c:pt>
                <c:pt idx="2">
                  <c:v>2.3250298475848474</c:v>
                </c:pt>
                <c:pt idx="3">
                  <c:v>0.75700365100633071</c:v>
                </c:pt>
                <c:pt idx="4">
                  <c:v>-15.233811855402095</c:v>
                </c:pt>
                <c:pt idx="5">
                  <c:v>-19.796091248591001</c:v>
                </c:pt>
                <c:pt idx="6">
                  <c:v>-24.004739990521202</c:v>
                </c:pt>
              </c:numCache>
            </c:numRef>
          </c:val>
          <c:extLst xmlns:c16r2="http://schemas.microsoft.com/office/drawing/2015/06/chart">
            <c:ext xmlns:c16="http://schemas.microsoft.com/office/drawing/2014/chart" uri="{C3380CC4-5D6E-409C-BE32-E72D297353CC}">
              <c16:uniqueId val="{00000007-D242-4A85-965E-1538506DC893}"/>
            </c:ext>
          </c:extLst>
        </c:ser>
        <c:dLbls>
          <c:showLegendKey val="0"/>
          <c:showVal val="0"/>
          <c:showCatName val="0"/>
          <c:showSerName val="0"/>
          <c:showPercent val="0"/>
          <c:showBubbleSize val="0"/>
        </c:dLbls>
        <c:gapWidth val="150"/>
        <c:axId val="132567424"/>
        <c:axId val="143716736"/>
      </c:barChart>
      <c:catAx>
        <c:axId val="132567424"/>
        <c:scaling>
          <c:orientation val="minMax"/>
        </c:scaling>
        <c:delete val="0"/>
        <c:axPos val="b"/>
        <c:numFmt formatCode="General" sourceLinked="0"/>
        <c:majorTickMark val="out"/>
        <c:minorTickMark val="none"/>
        <c:tickLblPos val="low"/>
        <c:spPr>
          <a:ln w="19050">
            <a:solidFill>
              <a:sysClr val="windowText" lastClr="000000"/>
            </a:solidFill>
          </a:ln>
        </c:spPr>
        <c:txPr>
          <a:bodyPr/>
          <a:lstStyle/>
          <a:p>
            <a:pPr>
              <a:defRPr lang="en-US" sz="900" b="1" baseline="0"/>
            </a:pPr>
            <a:endParaRPr lang="tr-TR"/>
          </a:p>
        </c:txPr>
        <c:crossAx val="143716736"/>
        <c:crosses val="autoZero"/>
        <c:auto val="1"/>
        <c:lblAlgn val="ctr"/>
        <c:lblOffset val="100"/>
        <c:noMultiLvlLbl val="0"/>
      </c:catAx>
      <c:valAx>
        <c:axId val="143716736"/>
        <c:scaling>
          <c:orientation val="minMax"/>
        </c:scaling>
        <c:delete val="0"/>
        <c:axPos val="l"/>
        <c:numFmt formatCode="0.0" sourceLinked="1"/>
        <c:majorTickMark val="out"/>
        <c:minorTickMark val="none"/>
        <c:tickLblPos val="nextTo"/>
        <c:spPr>
          <a:ln w="19050">
            <a:solidFill>
              <a:schemeClr val="tx1"/>
            </a:solidFill>
          </a:ln>
        </c:spPr>
        <c:txPr>
          <a:bodyPr/>
          <a:lstStyle/>
          <a:p>
            <a:pPr>
              <a:defRPr lang="en-US" b="1" i="0" baseline="0"/>
            </a:pPr>
            <a:endParaRPr lang="tr-TR"/>
          </a:p>
        </c:txPr>
        <c:crossAx val="13256742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0.07812</cdr:x>
      <cdr:y>0.29224</cdr:y>
    </cdr:from>
    <cdr:to>
      <cdr:x>0.97707</cdr:x>
      <cdr:y>0.29308</cdr:y>
    </cdr:to>
    <cdr:sp macro="" textlink="">
      <cdr:nvSpPr>
        <cdr:cNvPr id="2" name="2 Düz Bağlayıcı"/>
        <cdr:cNvSpPr/>
      </cdr:nvSpPr>
      <cdr:spPr>
        <a:xfrm xmlns:a="http://schemas.openxmlformats.org/drawingml/2006/main" flipV="1">
          <a:off x="471330" y="943643"/>
          <a:ext cx="5423867" cy="2712"/>
        </a:xfrm>
        <a:prstGeom xmlns:a="http://schemas.openxmlformats.org/drawingml/2006/main" prst="line">
          <a:avLst/>
        </a:prstGeom>
        <a:noFill xmlns:a="http://schemas.openxmlformats.org/drawingml/2006/main"/>
        <a:ln xmlns:a="http://schemas.openxmlformats.org/drawingml/2006/main" w="15875" cap="flat" cmpd="sng" algn="ctr">
          <a:solidFill>
            <a:srgbClr val="FF0000"/>
          </a:solidFill>
          <a:prstDash val="sys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tr-TR"/>
        </a:p>
      </cdr:txBody>
    </cdr:sp>
  </cdr:relSizeAnchor>
  <cdr:relSizeAnchor xmlns:cdr="http://schemas.openxmlformats.org/drawingml/2006/chartDrawing">
    <cdr:from>
      <cdr:x>0.78141</cdr:x>
      <cdr:y>0.30358</cdr:y>
    </cdr:from>
    <cdr:to>
      <cdr:x>0.91206</cdr:x>
      <cdr:y>0.3642</cdr:y>
    </cdr:to>
    <cdr:sp macro="" textlink="">
      <cdr:nvSpPr>
        <cdr:cNvPr id="3" name="3 Metin kutusu"/>
        <cdr:cNvSpPr txBox="1"/>
      </cdr:nvSpPr>
      <cdr:spPr>
        <a:xfrm xmlns:a="http://schemas.openxmlformats.org/drawingml/2006/main">
          <a:off x="4714669" y="980254"/>
          <a:ext cx="788284" cy="1957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1100">
              <a:solidFill>
                <a:srgbClr val="FF0000"/>
              </a:solidFill>
            </a:rPr>
            <a:t>Ortalama</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3584</Words>
  <Characters>20435</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Erkan OKTAY</dc:creator>
  <cp:keywords/>
  <dc:description/>
  <cp:lastModifiedBy>1</cp:lastModifiedBy>
  <cp:revision>25</cp:revision>
  <dcterms:created xsi:type="dcterms:W3CDTF">2019-04-06T13:56:00Z</dcterms:created>
  <dcterms:modified xsi:type="dcterms:W3CDTF">2019-04-19T07:16:00Z</dcterms:modified>
</cp:coreProperties>
</file>