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77E" w:rsidRDefault="00BE277E"/>
    <w:p w:rsidR="00BE277E" w:rsidRDefault="00BE277E"/>
    <w:p w:rsidR="00BE277E" w:rsidRDefault="00BE277E"/>
    <w:p w:rsidR="00BE277E" w:rsidRDefault="00BE277E" w:rsidP="00BE277E">
      <w:pPr>
        <w:rPr>
          <w:rFonts w:ascii="Times New Roman" w:hAnsi="Times New Roman" w:cs="Times New Roman"/>
          <w:b/>
          <w:noProof/>
          <w:sz w:val="24"/>
          <w:szCs w:val="24"/>
        </w:rPr>
      </w:pPr>
      <w:r>
        <w:rPr>
          <w:rFonts w:ascii="Times New Roman" w:hAnsi="Times New Roman" w:cs="Times New Roman"/>
          <w:b/>
          <w:noProof/>
          <w:sz w:val="24"/>
          <w:szCs w:val="24"/>
          <w:lang w:eastAsia="tr-TR"/>
        </w:rPr>
        <w:drawing>
          <wp:inline distT="0" distB="0" distL="0" distR="0">
            <wp:extent cx="5972175" cy="1343025"/>
            <wp:effectExtent l="0" t="0" r="9525" b="9525"/>
            <wp:docPr id="11" name="Resim 1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ind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1343025"/>
                    </a:xfrm>
                    <a:prstGeom prst="rect">
                      <a:avLst/>
                    </a:prstGeom>
                    <a:noFill/>
                    <a:ln>
                      <a:noFill/>
                    </a:ln>
                  </pic:spPr>
                </pic:pic>
              </a:graphicData>
            </a:graphic>
          </wp:inline>
        </w:drawing>
      </w:r>
    </w:p>
    <w:p w:rsidR="00BE277E" w:rsidRDefault="00BE277E" w:rsidP="00BE277E">
      <w:pPr>
        <w:rPr>
          <w:rFonts w:ascii="Times New Roman" w:hAnsi="Times New Roman" w:cs="Times New Roman"/>
          <w:b/>
          <w:noProof/>
          <w:sz w:val="24"/>
          <w:szCs w:val="24"/>
        </w:rPr>
      </w:pPr>
    </w:p>
    <w:p w:rsidR="00BE277E" w:rsidRDefault="00BE277E" w:rsidP="00BE277E">
      <w:pPr>
        <w:rPr>
          <w:rFonts w:ascii="Times New Roman" w:hAnsi="Times New Roman" w:cs="Times New Roman"/>
          <w:b/>
          <w:noProof/>
          <w:sz w:val="24"/>
          <w:szCs w:val="24"/>
        </w:rPr>
      </w:pPr>
    </w:p>
    <w:p w:rsidR="00BE277E" w:rsidRDefault="00BE277E" w:rsidP="00BE277E">
      <w:pPr>
        <w:jc w:val="center"/>
        <w:rPr>
          <w:rFonts w:ascii="Times New Roman" w:hAnsi="Times New Roman" w:cs="Times New Roman"/>
          <w:b/>
          <w:color w:val="244061" w:themeColor="accent1" w:themeShade="80"/>
          <w:sz w:val="40"/>
          <w:szCs w:val="40"/>
        </w:rPr>
      </w:pPr>
      <w:r>
        <w:rPr>
          <w:rFonts w:ascii="Times New Roman" w:hAnsi="Times New Roman" w:cs="Times New Roman"/>
          <w:b/>
          <w:color w:val="244061" w:themeColor="accent1" w:themeShade="80"/>
          <w:sz w:val="40"/>
          <w:szCs w:val="40"/>
        </w:rPr>
        <w:t>Ocak</w:t>
      </w:r>
      <w:r>
        <w:rPr>
          <w:rFonts w:ascii="Times New Roman" w:hAnsi="Times New Roman" w:cs="Times New Roman"/>
          <w:b/>
          <w:color w:val="244061" w:themeColor="accent1" w:themeShade="80"/>
          <w:sz w:val="40"/>
          <w:szCs w:val="40"/>
        </w:rPr>
        <w:t xml:space="preserve"> 2019 Ait Ekonomik Veriler</w:t>
      </w:r>
    </w:p>
    <w:p w:rsidR="00BE277E" w:rsidRDefault="00BE277E"/>
    <w:p w:rsidR="00BE277E" w:rsidRDefault="00BE277E"/>
    <w:p w:rsidR="00BE277E" w:rsidRDefault="00BE277E"/>
    <w:p w:rsidR="00BE277E" w:rsidRDefault="00BE277E">
      <w:bookmarkStart w:id="0" w:name="_GoBack"/>
      <w:bookmarkEnd w:id="0"/>
    </w:p>
    <w:p w:rsidR="00BE277E" w:rsidRDefault="00BE277E"/>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4"/>
        <w:gridCol w:w="4155"/>
      </w:tblGrid>
      <w:tr w:rsidR="000A1DB0" w:rsidRPr="000A1DB0" w:rsidTr="00BE277E">
        <w:trPr>
          <w:trHeight w:val="915"/>
        </w:trPr>
        <w:tc>
          <w:tcPr>
            <w:tcW w:w="5144" w:type="dxa"/>
            <w:vAlign w:val="center"/>
          </w:tcPr>
          <w:p w:rsidR="000A1DB0" w:rsidRPr="000A1DB0" w:rsidRDefault="000A1DB0" w:rsidP="000A1DB0">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0A1DB0">
              <w:rPr>
                <w:rFonts w:asciiTheme="majorHAnsi" w:eastAsiaTheme="majorEastAsia" w:hAnsiTheme="majorHAnsi" w:cstheme="majorBidi"/>
                <w:sz w:val="36"/>
                <w:szCs w:val="36"/>
                <w:lang w:eastAsia="tr-TR"/>
              </w:rPr>
              <w:t>2018 EKİM-ARALIK DÖNEMİ BANKA KREDİLERİ EĞİLİM ANKETİ</w:t>
            </w:r>
          </w:p>
        </w:tc>
        <w:tc>
          <w:tcPr>
            <w:tcW w:w="4155" w:type="dxa"/>
          </w:tcPr>
          <w:p w:rsidR="000A1DB0" w:rsidRPr="000A1DB0" w:rsidRDefault="000A1DB0" w:rsidP="000A1DB0">
            <w:pPr>
              <w:tabs>
                <w:tab w:val="center" w:pos="4536"/>
                <w:tab w:val="right" w:pos="9072"/>
              </w:tabs>
              <w:spacing w:after="0"/>
              <w:jc w:val="center"/>
              <w:rPr>
                <w:rFonts w:asciiTheme="majorHAnsi" w:eastAsiaTheme="majorEastAsia" w:hAnsiTheme="majorHAnsi" w:cstheme="majorBidi"/>
                <w:b/>
                <w:bCs/>
                <w:color w:val="4F81BD" w:themeColor="accent1"/>
                <w:sz w:val="36"/>
                <w:szCs w:val="36"/>
                <w:lang w:eastAsia="tr-TR"/>
              </w:rPr>
            </w:pPr>
            <w:r w:rsidRPr="000A1DB0">
              <w:rPr>
                <w:rFonts w:asciiTheme="majorHAnsi" w:eastAsiaTheme="majorEastAsia" w:hAnsiTheme="majorHAnsi" w:cstheme="majorBidi"/>
                <w:bCs/>
                <w:sz w:val="28"/>
                <w:szCs w:val="36"/>
                <w:lang w:eastAsia="tr-TR"/>
              </w:rPr>
              <w:t xml:space="preserve">14 Ocak 2019                </w:t>
            </w:r>
          </w:p>
        </w:tc>
      </w:tr>
    </w:tbl>
    <w:p w:rsidR="000A1DB0" w:rsidRPr="000A1DB0" w:rsidRDefault="000A1DB0" w:rsidP="000A1DB0">
      <w:pPr>
        <w:tabs>
          <w:tab w:val="center" w:pos="4536"/>
          <w:tab w:val="right" w:pos="9072"/>
        </w:tabs>
        <w:spacing w:after="0" w:line="240" w:lineRule="auto"/>
        <w:rPr>
          <w:rFonts w:eastAsiaTheme="minorEastAsia"/>
          <w:lang w:eastAsia="tr-TR"/>
        </w:rPr>
      </w:pPr>
    </w:p>
    <w:p w:rsidR="000A1DB0" w:rsidRPr="000A1DB0" w:rsidRDefault="000A1DB0" w:rsidP="000A1DB0">
      <w:pPr>
        <w:jc w:val="both"/>
        <w:rPr>
          <w:rFonts w:ascii="Times New Roman" w:eastAsiaTheme="minorEastAsia" w:hAnsi="Times New Roman" w:cs="Times New Roman"/>
          <w:b/>
          <w:sz w:val="24"/>
          <w:szCs w:val="24"/>
          <w:lang w:eastAsia="tr-TR"/>
        </w:rPr>
      </w:pPr>
      <w:r w:rsidRPr="000A1DB0">
        <w:rPr>
          <w:rFonts w:ascii="Times New Roman" w:eastAsiaTheme="minorEastAsia" w:hAnsi="Times New Roman" w:cs="Times New Roman"/>
          <w:b/>
          <w:sz w:val="24"/>
          <w:szCs w:val="24"/>
          <w:lang w:eastAsia="tr-TR"/>
        </w:rPr>
        <w:t>Banka Kredileri Eğilim Anketi’nin 2018 yılı son çeyreğine ilişkin veriler, Türkiye Cumhuriyet Merkez Bankası (TCMB) tarafından 4 Ocak 2019 tarihinde yayımlandı.</w:t>
      </w:r>
    </w:p>
    <w:p w:rsidR="000A1DB0" w:rsidRPr="000A1DB0" w:rsidRDefault="000A1DB0" w:rsidP="000A1DB0">
      <w:pPr>
        <w:jc w:val="both"/>
        <w:rPr>
          <w:rFonts w:ascii="Times New Roman" w:eastAsiaTheme="minorEastAsia" w:hAnsi="Times New Roman" w:cs="Times New Roman"/>
          <w:sz w:val="24"/>
          <w:szCs w:val="24"/>
          <w:lang w:eastAsia="tr-TR"/>
        </w:rPr>
      </w:pPr>
      <w:r w:rsidRPr="000A1DB0">
        <w:rPr>
          <w:rFonts w:ascii="Times New Roman" w:eastAsiaTheme="minorEastAsia" w:hAnsi="Times New Roman" w:cs="Times New Roman"/>
          <w:sz w:val="24"/>
          <w:szCs w:val="24"/>
          <w:lang w:eastAsia="tr-TR"/>
        </w:rPr>
        <w:t xml:space="preserve">Banka Kredileri Eğilim Anketi, ekonomik büyümenin finansmanında önemli bir görev üstlenen banka kredilerindeki eğilimlerin izlenmesi amacıyla üçer aylık </w:t>
      </w:r>
      <w:proofErr w:type="gramStart"/>
      <w:r w:rsidRPr="000A1DB0">
        <w:rPr>
          <w:rFonts w:ascii="Times New Roman" w:eastAsiaTheme="minorEastAsia" w:hAnsi="Times New Roman" w:cs="Times New Roman"/>
          <w:sz w:val="24"/>
          <w:szCs w:val="24"/>
          <w:lang w:eastAsia="tr-TR"/>
        </w:rPr>
        <w:t>periyotlarla</w:t>
      </w:r>
      <w:proofErr w:type="gramEnd"/>
      <w:r w:rsidRPr="000A1DB0">
        <w:rPr>
          <w:rFonts w:ascii="Times New Roman" w:eastAsiaTheme="minorEastAsia" w:hAnsi="Times New Roman" w:cs="Times New Roman"/>
          <w:sz w:val="24"/>
          <w:szCs w:val="24"/>
          <w:lang w:eastAsia="tr-TR"/>
        </w:rPr>
        <w:t xml:space="preserve"> hazırlanmaktadır. Bu anket ile kredi arzını etkileyen koşullarda gerçekleşmiş ve gerçekleşmesi beklenen değişimler, bu değişimlerde rolü olduğu düşünülen faktörler ve kredi talebinin izlenmesi hedeflenmektedir.</w:t>
      </w:r>
    </w:p>
    <w:p w:rsidR="000A1DB0" w:rsidRPr="000A1DB0" w:rsidRDefault="000A1DB0" w:rsidP="000A1DB0">
      <w:pPr>
        <w:jc w:val="both"/>
        <w:rPr>
          <w:rFonts w:ascii="Times New Roman" w:eastAsiaTheme="minorEastAsia" w:hAnsi="Times New Roman" w:cs="Times New Roman"/>
          <w:sz w:val="24"/>
          <w:szCs w:val="24"/>
          <w:lang w:eastAsia="tr-TR"/>
        </w:rPr>
      </w:pPr>
      <w:r w:rsidRPr="000A1DB0">
        <w:rPr>
          <w:rFonts w:ascii="Times New Roman" w:eastAsiaTheme="minorEastAsia" w:hAnsi="Times New Roman" w:cs="Times New Roman"/>
          <w:sz w:val="24"/>
          <w:szCs w:val="24"/>
          <w:lang w:eastAsia="tr-TR"/>
        </w:rPr>
        <w:t xml:space="preserve">Sektör toplam kredilerinin yaklaşık yüzde 80’ini sağlayan ve toplam içinde en yüksek paya sahip ilk 15 bankaya gönderilerek uygulanan ankette yer alan bankaların biri kamu, dokuzu özel, beşi </w:t>
      </w:r>
      <w:r w:rsidRPr="000A1DB0">
        <w:rPr>
          <w:rFonts w:ascii="Times New Roman" w:eastAsiaTheme="minorEastAsia" w:hAnsi="Times New Roman" w:cs="Times New Roman"/>
          <w:sz w:val="24"/>
          <w:szCs w:val="24"/>
          <w:lang w:eastAsia="tr-TR"/>
        </w:rPr>
        <w:lastRenderedPageBreak/>
        <w:t xml:space="preserve">ise yabancı sermayeli bankadır. Ankette, işletmelere kullandırılan krediler ve bireysel krediler için ayrı ayrı olmak üzere, öncelikle kredi standartlarının, kredi koşul ve kurallarının ve kredi talebinin geçmiş aydaki değişim yönü sorulmaktadır. Bunun ardından ise bu değişimi etkileyen faktörlerin önem derecesinin belirtilmesi istenmektedir. Faktörler irdelendikten sonra bankalara, aynı göstergelerin değişim yönlerine ilişkin gelecek üç ayı kapsayan beklentileri sorulmaktadır. Bankalardan alınan yanıtlar analize </w:t>
      </w:r>
      <w:proofErr w:type="spellStart"/>
      <w:r w:rsidRPr="000A1DB0">
        <w:rPr>
          <w:rFonts w:ascii="Times New Roman" w:eastAsiaTheme="minorEastAsia" w:hAnsi="Times New Roman" w:cs="Times New Roman"/>
          <w:sz w:val="24"/>
          <w:szCs w:val="24"/>
          <w:lang w:eastAsia="tr-TR"/>
        </w:rPr>
        <w:t>ağırlıklandırma</w:t>
      </w:r>
      <w:proofErr w:type="spellEnd"/>
      <w:r w:rsidRPr="000A1DB0">
        <w:rPr>
          <w:rFonts w:ascii="Times New Roman" w:eastAsiaTheme="minorEastAsia" w:hAnsi="Times New Roman" w:cs="Times New Roman"/>
          <w:sz w:val="24"/>
          <w:szCs w:val="24"/>
          <w:lang w:eastAsia="tr-TR"/>
        </w:rPr>
        <w:t xml:space="preserve"> yöntemi ile dâhil edilmektedir. Ağırlıklar, bankaların belirli kredi türlerindeki piyasa paylarına göre hesaplanmaktadır. </w:t>
      </w:r>
    </w:p>
    <w:p w:rsidR="000A1DB0" w:rsidRPr="000A1DB0" w:rsidRDefault="000A1DB0" w:rsidP="000A1DB0">
      <w:pPr>
        <w:jc w:val="both"/>
        <w:rPr>
          <w:rFonts w:ascii="Times New Roman" w:eastAsiaTheme="minorEastAsia" w:hAnsi="Times New Roman" w:cs="Times New Roman"/>
          <w:sz w:val="24"/>
          <w:szCs w:val="24"/>
          <w:lang w:eastAsia="tr-TR"/>
        </w:rPr>
      </w:pPr>
      <w:r w:rsidRPr="000A1DB0">
        <w:rPr>
          <w:rFonts w:ascii="Times New Roman" w:eastAsiaTheme="minorEastAsia" w:hAnsi="Times New Roman" w:cs="Times New Roman"/>
          <w:sz w:val="24"/>
          <w:szCs w:val="24"/>
          <w:lang w:eastAsia="tr-TR"/>
        </w:rPr>
        <w:t>Yukarıda özetlenen yöntem çerçevesinde gerçekleştirilen Banka Kredileri Eğilim Anketi’nin Ekim-Aralık 2018 dönemine ilişkin açıklanan sonuçlar, 2018 yılı son çeyrekteki gerçekleşmeleri ve 2019 yılı ilk çeyreğine ilişkin beklentileri içermektedir. Buna göre Ekim-Aralık 2018 döneminde, bankaların işletmelere verilen tüm kredi türlerinde standartları sıkılaştırmaya devam ettiği görülmüştür. 2019 yılı birinci çeyreğinde işletmelere kullandırılan kredilerde ve taşıt kredilerinde standartların temelde aynı kalacağı, konut ve diğer bireysel kredilerde standartların gevşeyeceği beklenmektedir.</w:t>
      </w:r>
    </w:p>
    <w:p w:rsidR="000A1DB0" w:rsidRPr="000A1DB0" w:rsidRDefault="000A1DB0" w:rsidP="000A1DB0">
      <w:pPr>
        <w:jc w:val="both"/>
        <w:rPr>
          <w:rFonts w:ascii="Times New Roman" w:eastAsiaTheme="minorEastAsia" w:hAnsi="Times New Roman" w:cs="Times New Roman"/>
          <w:sz w:val="24"/>
          <w:szCs w:val="24"/>
          <w:lang w:eastAsia="tr-TR"/>
        </w:rPr>
      </w:pPr>
      <w:r w:rsidRPr="000A1DB0">
        <w:rPr>
          <w:rFonts w:ascii="Times New Roman" w:eastAsiaTheme="minorEastAsia" w:hAnsi="Times New Roman" w:cs="Times New Roman"/>
          <w:sz w:val="24"/>
          <w:szCs w:val="24"/>
          <w:lang w:eastAsia="tr-TR"/>
        </w:rPr>
        <w:t>Ekim-Aralık 2018 döneminde işletmelerin banka kredilerine olan talebinde bir azalış gözlemlenmiştir. Bireysel kredi türlerinin hepsinde talep azalışı gerçekleşmiştir. Bankaların fon sağlama imkânlarına bakıldığında ise yurt içi ve yurt dışı fonlama koşullarında önceki çeyreklerde olduğu gibi sıkılaştırmanın devam ettiği görülmektedir. 2019 yılı ilk çeyreğinde yurt dışı fonlama koşullarındaki sıkılaşmanın süreceği, yurt içi fonlama koşullarının ise gevşeyeceği beklenmektedir.</w:t>
      </w:r>
    </w:p>
    <w:p w:rsidR="000A1DB0" w:rsidRPr="000A1DB0" w:rsidRDefault="000A1DB0" w:rsidP="000A1DB0">
      <w:pPr>
        <w:jc w:val="both"/>
        <w:rPr>
          <w:rFonts w:ascii="Times New Roman" w:eastAsiaTheme="minorEastAsia" w:hAnsi="Times New Roman" w:cs="Times New Roman"/>
          <w:sz w:val="24"/>
          <w:szCs w:val="24"/>
          <w:lang w:eastAsia="tr-TR"/>
        </w:rPr>
      </w:pPr>
    </w:p>
    <w:p w:rsidR="000A1DB0" w:rsidRPr="000A1DB0" w:rsidRDefault="000A1DB0" w:rsidP="000A1DB0">
      <w:pPr>
        <w:jc w:val="both"/>
        <w:rPr>
          <w:rFonts w:ascii="Times New Roman" w:eastAsiaTheme="minorEastAsia" w:hAnsi="Times New Roman" w:cs="Times New Roman"/>
          <w:sz w:val="24"/>
          <w:szCs w:val="24"/>
          <w:lang w:eastAsia="tr-TR"/>
        </w:rPr>
      </w:pPr>
    </w:p>
    <w:p w:rsidR="000A1DB0" w:rsidRPr="000A1DB0" w:rsidRDefault="000A1DB0" w:rsidP="000A1DB0">
      <w:pPr>
        <w:jc w:val="both"/>
        <w:rPr>
          <w:rFonts w:ascii="Times New Roman" w:eastAsiaTheme="minorEastAsia" w:hAnsi="Times New Roman" w:cs="Times New Roman"/>
          <w:sz w:val="24"/>
          <w:szCs w:val="24"/>
          <w:lang w:eastAsia="tr-TR"/>
        </w:rPr>
      </w:pPr>
      <w:r w:rsidRPr="000A1DB0">
        <w:rPr>
          <w:rFonts w:ascii="Times New Roman" w:eastAsiaTheme="minorEastAsia" w:hAnsi="Times New Roman" w:cs="Times New Roman"/>
          <w:sz w:val="24"/>
          <w:szCs w:val="24"/>
          <w:lang w:eastAsia="tr-TR"/>
        </w:rPr>
        <w:t xml:space="preserve">Şekil 1, bankaların genel olarak işletmelere verilen kredilere uyguladıkları standartları sıkılaştırdığını göstermektedir. Çizgi grafikte </w:t>
      </w:r>
      <w:r w:rsidRPr="000A1DB0">
        <w:rPr>
          <w:rFonts w:ascii="Times New Roman" w:eastAsiaTheme="minorEastAsia" w:hAnsi="Times New Roman" w:cs="Times New Roman"/>
          <w:i/>
          <w:sz w:val="24"/>
          <w:szCs w:val="24"/>
          <w:lang w:eastAsia="tr-TR"/>
        </w:rPr>
        <w:t>gerçekleşme</w:t>
      </w:r>
      <w:r w:rsidRPr="000A1DB0">
        <w:rPr>
          <w:rFonts w:ascii="Times New Roman" w:eastAsiaTheme="minorEastAsia" w:hAnsi="Times New Roman" w:cs="Times New Roman"/>
          <w:sz w:val="24"/>
          <w:szCs w:val="24"/>
          <w:lang w:eastAsia="tr-TR"/>
        </w:rPr>
        <w:t xml:space="preserve"> söz konusu dönemde standartlarda meydana gelen değişimi ifade ederken </w:t>
      </w:r>
      <w:r w:rsidRPr="000A1DB0">
        <w:rPr>
          <w:rFonts w:ascii="Times New Roman" w:eastAsiaTheme="minorEastAsia" w:hAnsi="Times New Roman" w:cs="Times New Roman"/>
          <w:i/>
          <w:sz w:val="24"/>
          <w:szCs w:val="24"/>
          <w:lang w:eastAsia="tr-TR"/>
        </w:rPr>
        <w:t>beklenti</w:t>
      </w:r>
      <w:r w:rsidRPr="000A1DB0">
        <w:rPr>
          <w:rFonts w:ascii="Times New Roman" w:eastAsiaTheme="minorEastAsia" w:hAnsi="Times New Roman" w:cs="Times New Roman"/>
          <w:sz w:val="24"/>
          <w:szCs w:val="24"/>
          <w:lang w:eastAsia="tr-TR"/>
        </w:rPr>
        <w:t xml:space="preserve"> ise aynı dönem için bankaların beklediği değişimi ifade etmektedir. 2015 yılı ilk çeyreğinden bu yana işletmelere kullandırılan kredi türünde beklentiler ile gerçekleşmelerin genellikle aynı yönlü olduğu gözlenmiştir. 2018 yılı son çeyreğinde bankaların genel olarak işletmelere kullandırılan kredilere uygulanan standartları önemli ölçüde sıkılaştırmaya devam ettiği görülmektedir. Bu sıkılaştırmada esas olarak genel ekonomik faaliyetlere ilişkin beklentiler, endüstri ya da firmalara ilişkin görünüm ve talep edilen teminatlara ilişkin riskler, para ve tahvil piyasasına erişim olanağı, sermaye yeterliliği ile ilgili kısıtlar ve bankanın likidite pozisyonu etkili olmuştur. 2018 yılı son çeyreğinde sadece diğer bankaların rekabeti standartlar üzerinde gevşetici etki yaratmıştır.</w:t>
      </w:r>
    </w:p>
    <w:p w:rsidR="000A1DB0" w:rsidRPr="000A1DB0" w:rsidRDefault="000A1DB0" w:rsidP="000A1DB0">
      <w:pPr>
        <w:keepNext/>
        <w:spacing w:line="240" w:lineRule="auto"/>
        <w:jc w:val="both"/>
        <w:rPr>
          <w:rFonts w:ascii="Times New Roman" w:eastAsiaTheme="minorEastAsia" w:hAnsi="Times New Roman" w:cs="Times New Roman"/>
          <w:bCs/>
          <w:sz w:val="24"/>
          <w:szCs w:val="24"/>
          <w:lang w:eastAsia="tr-TR"/>
        </w:rPr>
      </w:pPr>
      <w:r w:rsidRPr="000A1DB0">
        <w:rPr>
          <w:rFonts w:ascii="Times New Roman" w:eastAsiaTheme="minorEastAsia" w:hAnsi="Times New Roman" w:cs="Times New Roman"/>
          <w:bCs/>
          <w:sz w:val="24"/>
          <w:szCs w:val="24"/>
          <w:lang w:eastAsia="tr-TR"/>
        </w:rPr>
        <w:lastRenderedPageBreak/>
        <w:t xml:space="preserve">Tablo </w:t>
      </w:r>
      <w:r w:rsidRPr="000A1DB0">
        <w:rPr>
          <w:rFonts w:ascii="Times New Roman" w:eastAsiaTheme="minorEastAsia" w:hAnsi="Times New Roman" w:cs="Times New Roman"/>
          <w:bCs/>
          <w:sz w:val="24"/>
          <w:szCs w:val="24"/>
          <w:lang w:eastAsia="tr-TR"/>
        </w:rPr>
        <w:fldChar w:fldCharType="begin"/>
      </w:r>
      <w:r w:rsidRPr="000A1DB0">
        <w:rPr>
          <w:rFonts w:ascii="Times New Roman" w:eastAsiaTheme="minorEastAsia" w:hAnsi="Times New Roman" w:cs="Times New Roman"/>
          <w:bCs/>
          <w:sz w:val="24"/>
          <w:szCs w:val="24"/>
          <w:lang w:eastAsia="tr-TR"/>
        </w:rPr>
        <w:instrText xml:space="preserve"> SEQ Tablo \* ARABIC </w:instrText>
      </w:r>
      <w:r w:rsidRPr="000A1DB0">
        <w:rPr>
          <w:rFonts w:ascii="Times New Roman" w:eastAsiaTheme="minorEastAsia" w:hAnsi="Times New Roman" w:cs="Times New Roman"/>
          <w:bCs/>
          <w:sz w:val="24"/>
          <w:szCs w:val="24"/>
          <w:lang w:eastAsia="tr-TR"/>
        </w:rPr>
        <w:fldChar w:fldCharType="separate"/>
      </w:r>
      <w:r w:rsidRPr="000A1DB0">
        <w:rPr>
          <w:rFonts w:ascii="Times New Roman" w:eastAsiaTheme="minorEastAsia" w:hAnsi="Times New Roman" w:cs="Times New Roman"/>
          <w:bCs/>
          <w:noProof/>
          <w:sz w:val="24"/>
          <w:szCs w:val="24"/>
          <w:lang w:eastAsia="tr-TR"/>
        </w:rPr>
        <w:t>1</w:t>
      </w:r>
      <w:r w:rsidRPr="000A1DB0">
        <w:rPr>
          <w:rFonts w:ascii="Times New Roman" w:eastAsiaTheme="minorEastAsia" w:hAnsi="Times New Roman" w:cs="Times New Roman"/>
          <w:bCs/>
          <w:sz w:val="24"/>
          <w:szCs w:val="24"/>
          <w:lang w:eastAsia="tr-TR"/>
        </w:rPr>
        <w:fldChar w:fldCharType="end"/>
      </w:r>
      <w:r w:rsidRPr="000A1DB0">
        <w:rPr>
          <w:rFonts w:ascii="Times New Roman" w:eastAsiaTheme="minorEastAsia" w:hAnsi="Times New Roman" w:cs="Times New Roman"/>
          <w:bCs/>
          <w:sz w:val="24"/>
          <w:szCs w:val="24"/>
          <w:lang w:eastAsia="tr-TR"/>
        </w:rPr>
        <w:t>: Genel olarak işletmelere verilen kredilere uygulanan standartlarda değişim bildiren bankaların net yüzde oranları (&gt;0 = Gevşetme; &lt;0 = Sıkılaştırma)</w:t>
      </w:r>
    </w:p>
    <w:p w:rsidR="000A1DB0" w:rsidRPr="000A1DB0" w:rsidRDefault="000A1DB0" w:rsidP="000A1DB0">
      <w:pPr>
        <w:rPr>
          <w:rFonts w:eastAsiaTheme="minorEastAsia"/>
          <w:noProof/>
          <w:lang w:eastAsia="tr-TR"/>
        </w:rPr>
      </w:pPr>
      <w:r w:rsidRPr="000A1DB0">
        <w:rPr>
          <w:rFonts w:eastAsiaTheme="minorEastAsia"/>
          <w:noProof/>
          <w:lang w:eastAsia="tr-TR"/>
        </w:rPr>
        <w:drawing>
          <wp:inline distT="0" distB="0" distL="0" distR="0" wp14:anchorId="43829005" wp14:editId="02DBEA69">
            <wp:extent cx="5972810" cy="369613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3696137"/>
                    </a:xfrm>
                    <a:prstGeom prst="rect">
                      <a:avLst/>
                    </a:prstGeom>
                    <a:noFill/>
                    <a:ln>
                      <a:noFill/>
                    </a:ln>
                  </pic:spPr>
                </pic:pic>
              </a:graphicData>
            </a:graphic>
          </wp:inline>
        </w:drawing>
      </w:r>
    </w:p>
    <w:p w:rsidR="000A1DB0" w:rsidRPr="000A1DB0" w:rsidRDefault="000A1DB0" w:rsidP="000A1DB0">
      <w:pPr>
        <w:rPr>
          <w:rFonts w:eastAsiaTheme="minorEastAsia"/>
          <w:lang w:eastAsia="tr-TR"/>
        </w:rPr>
      </w:pPr>
      <w:r w:rsidRPr="000A1DB0">
        <w:rPr>
          <w:rFonts w:ascii="Times New Roman" w:eastAsiaTheme="minorEastAsia" w:hAnsi="Times New Roman" w:cs="Times New Roman"/>
          <w:b/>
          <w:sz w:val="16"/>
          <w:lang w:eastAsia="tr-TR"/>
        </w:rPr>
        <w:t>Kaynak: TCMB</w:t>
      </w:r>
    </w:p>
    <w:p w:rsidR="000A1DB0" w:rsidRPr="000A1DB0" w:rsidRDefault="000A1DB0" w:rsidP="000A1DB0">
      <w:pPr>
        <w:keepNext/>
        <w:spacing w:line="240" w:lineRule="auto"/>
        <w:jc w:val="both"/>
        <w:rPr>
          <w:rFonts w:ascii="Times New Roman" w:eastAsiaTheme="minorEastAsia" w:hAnsi="Times New Roman" w:cs="Times New Roman"/>
          <w:bCs/>
          <w:sz w:val="24"/>
          <w:szCs w:val="24"/>
          <w:lang w:eastAsia="tr-TR"/>
        </w:rPr>
      </w:pPr>
      <w:r w:rsidRPr="000A1DB0">
        <w:rPr>
          <w:rFonts w:ascii="Times New Roman" w:eastAsiaTheme="minorEastAsia" w:hAnsi="Times New Roman" w:cs="Times New Roman"/>
          <w:bCs/>
          <w:sz w:val="24"/>
          <w:szCs w:val="24"/>
          <w:lang w:eastAsia="tr-TR"/>
        </w:rPr>
        <w:t xml:space="preserve">Şekil </w:t>
      </w:r>
      <w:r w:rsidRPr="000A1DB0">
        <w:rPr>
          <w:rFonts w:ascii="Times New Roman" w:eastAsiaTheme="minorEastAsia" w:hAnsi="Times New Roman" w:cs="Times New Roman"/>
          <w:bCs/>
          <w:sz w:val="24"/>
          <w:szCs w:val="24"/>
          <w:lang w:eastAsia="tr-TR"/>
        </w:rPr>
        <w:fldChar w:fldCharType="begin"/>
      </w:r>
      <w:r w:rsidRPr="000A1DB0">
        <w:rPr>
          <w:rFonts w:ascii="Times New Roman" w:eastAsiaTheme="minorEastAsia" w:hAnsi="Times New Roman" w:cs="Times New Roman"/>
          <w:bCs/>
          <w:sz w:val="24"/>
          <w:szCs w:val="24"/>
          <w:lang w:eastAsia="tr-TR"/>
        </w:rPr>
        <w:instrText xml:space="preserve"> SEQ Şekil \* ARABIC </w:instrText>
      </w:r>
      <w:r w:rsidRPr="000A1DB0">
        <w:rPr>
          <w:rFonts w:ascii="Times New Roman" w:eastAsiaTheme="minorEastAsia" w:hAnsi="Times New Roman" w:cs="Times New Roman"/>
          <w:bCs/>
          <w:sz w:val="24"/>
          <w:szCs w:val="24"/>
          <w:lang w:eastAsia="tr-TR"/>
        </w:rPr>
        <w:fldChar w:fldCharType="separate"/>
      </w:r>
      <w:r w:rsidRPr="000A1DB0">
        <w:rPr>
          <w:rFonts w:ascii="Times New Roman" w:eastAsiaTheme="minorEastAsia" w:hAnsi="Times New Roman" w:cs="Times New Roman"/>
          <w:bCs/>
          <w:noProof/>
          <w:sz w:val="24"/>
          <w:szCs w:val="24"/>
          <w:lang w:eastAsia="tr-TR"/>
        </w:rPr>
        <w:t>1</w:t>
      </w:r>
      <w:r w:rsidRPr="000A1DB0">
        <w:rPr>
          <w:rFonts w:ascii="Times New Roman" w:eastAsiaTheme="minorEastAsia" w:hAnsi="Times New Roman" w:cs="Times New Roman"/>
          <w:bCs/>
          <w:sz w:val="24"/>
          <w:szCs w:val="24"/>
          <w:lang w:eastAsia="tr-TR"/>
        </w:rPr>
        <w:fldChar w:fldCharType="end"/>
      </w:r>
      <w:r w:rsidRPr="000A1DB0">
        <w:rPr>
          <w:rFonts w:ascii="Times New Roman" w:eastAsiaTheme="minorEastAsia" w:hAnsi="Times New Roman" w:cs="Times New Roman"/>
          <w:bCs/>
          <w:sz w:val="24"/>
          <w:szCs w:val="24"/>
          <w:lang w:eastAsia="tr-TR"/>
        </w:rPr>
        <w:t>: Genel olarak işletmelere verilen kredilere uygulanan standartlarda değişim bildiren bankaların net yüzde oranları (&gt;0 = Gevşetme; &lt;0 = Sıkılaştırma) ve standartları etkileyen faktörler</w:t>
      </w:r>
    </w:p>
    <w:p w:rsidR="000A1DB0" w:rsidRPr="000A1DB0" w:rsidRDefault="000A1DB0" w:rsidP="000A1DB0">
      <w:pPr>
        <w:rPr>
          <w:rFonts w:eastAsiaTheme="minorEastAsia"/>
          <w:lang w:eastAsia="tr-TR"/>
        </w:rPr>
      </w:pPr>
      <w:r w:rsidRPr="000A1DB0">
        <w:rPr>
          <w:rFonts w:eastAsiaTheme="minorEastAsia"/>
          <w:noProof/>
          <w:lang w:eastAsia="tr-TR"/>
        </w:rPr>
        <w:drawing>
          <wp:inline distT="0" distB="0" distL="0" distR="0" wp14:anchorId="49BC6269" wp14:editId="5B182CB0">
            <wp:extent cx="5970905" cy="25431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841" cy="2544851"/>
                    </a:xfrm>
                    <a:prstGeom prst="rect">
                      <a:avLst/>
                    </a:prstGeom>
                    <a:noFill/>
                    <a:ln>
                      <a:noFill/>
                    </a:ln>
                  </pic:spPr>
                </pic:pic>
              </a:graphicData>
            </a:graphic>
          </wp:inline>
        </w:drawing>
      </w:r>
    </w:p>
    <w:p w:rsidR="000A1DB0" w:rsidRPr="000A1DB0" w:rsidRDefault="000A1DB0" w:rsidP="000A1DB0">
      <w:pPr>
        <w:spacing w:after="0" w:line="240" w:lineRule="auto"/>
        <w:jc w:val="both"/>
        <w:rPr>
          <w:rFonts w:ascii="Times New Roman" w:eastAsiaTheme="minorEastAsia" w:hAnsi="Times New Roman" w:cs="Times New Roman"/>
          <w:lang w:eastAsia="tr-TR"/>
        </w:rPr>
      </w:pPr>
      <w:r w:rsidRPr="000A1DB0">
        <w:rPr>
          <w:rFonts w:eastAsiaTheme="minorEastAsia"/>
          <w:noProof/>
          <w:lang w:eastAsia="tr-TR"/>
        </w:rPr>
        <w:lastRenderedPageBreak/>
        <w:drawing>
          <wp:inline distT="0" distB="0" distL="0" distR="0" wp14:anchorId="497744E9" wp14:editId="7F9B8AD6">
            <wp:extent cx="5971987" cy="32575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257" cy="3258243"/>
                    </a:xfrm>
                    <a:prstGeom prst="rect">
                      <a:avLst/>
                    </a:prstGeom>
                    <a:noFill/>
                    <a:ln>
                      <a:noFill/>
                    </a:ln>
                  </pic:spPr>
                </pic:pic>
              </a:graphicData>
            </a:graphic>
          </wp:inline>
        </w:drawing>
      </w:r>
    </w:p>
    <w:p w:rsidR="000A1DB0" w:rsidRPr="000A1DB0" w:rsidRDefault="000A1DB0" w:rsidP="000A1DB0">
      <w:pPr>
        <w:spacing w:after="0" w:line="240" w:lineRule="auto"/>
        <w:jc w:val="both"/>
        <w:rPr>
          <w:rFonts w:ascii="Times New Roman" w:eastAsiaTheme="minorEastAsia" w:hAnsi="Times New Roman" w:cs="Times New Roman"/>
          <w:b/>
          <w:sz w:val="16"/>
          <w:lang w:eastAsia="tr-TR"/>
        </w:rPr>
      </w:pPr>
      <w:r w:rsidRPr="000A1DB0">
        <w:rPr>
          <w:rFonts w:ascii="Times New Roman" w:eastAsiaTheme="minorEastAsia" w:hAnsi="Times New Roman" w:cs="Times New Roman"/>
          <w:b/>
          <w:sz w:val="16"/>
          <w:lang w:eastAsia="tr-TR"/>
        </w:rPr>
        <w:t>Kaynak: TCMB</w:t>
      </w:r>
    </w:p>
    <w:p w:rsidR="000A1DB0" w:rsidRPr="000A1DB0" w:rsidRDefault="000A1DB0" w:rsidP="000A1DB0">
      <w:pPr>
        <w:jc w:val="both"/>
        <w:rPr>
          <w:rFonts w:ascii="Times New Roman" w:eastAsiaTheme="minorEastAsia" w:hAnsi="Times New Roman" w:cs="Times New Roman"/>
          <w:lang w:eastAsia="tr-TR"/>
        </w:rPr>
      </w:pPr>
    </w:p>
    <w:p w:rsidR="000A1DB0" w:rsidRPr="000A1DB0" w:rsidRDefault="000A1DB0" w:rsidP="000A1DB0">
      <w:pPr>
        <w:jc w:val="both"/>
        <w:rPr>
          <w:rFonts w:ascii="Times New Roman" w:eastAsiaTheme="minorEastAsia" w:hAnsi="Times New Roman" w:cs="Times New Roman"/>
          <w:lang w:eastAsia="tr-TR"/>
        </w:rPr>
      </w:pPr>
      <w:r w:rsidRPr="000A1DB0">
        <w:rPr>
          <w:rFonts w:ascii="Times New Roman" w:eastAsiaTheme="minorEastAsia" w:hAnsi="Times New Roman" w:cs="Times New Roman"/>
          <w:lang w:eastAsia="tr-TR"/>
        </w:rPr>
        <w:t xml:space="preserve">İşletmelere verilen kredilere uygulanan kredi koşul ve kurallarına bakıldığında, bankaların ortalama krediler üzerinden aldıkları kar </w:t>
      </w:r>
      <w:proofErr w:type="gramStart"/>
      <w:r w:rsidRPr="000A1DB0">
        <w:rPr>
          <w:rFonts w:ascii="Times New Roman" w:eastAsiaTheme="minorEastAsia" w:hAnsi="Times New Roman" w:cs="Times New Roman"/>
          <w:lang w:eastAsia="tr-TR"/>
        </w:rPr>
        <w:t>marjlarını</w:t>
      </w:r>
      <w:proofErr w:type="gramEnd"/>
      <w:r w:rsidRPr="000A1DB0">
        <w:rPr>
          <w:rFonts w:ascii="Times New Roman" w:eastAsiaTheme="minorEastAsia" w:hAnsi="Times New Roman" w:cs="Times New Roman"/>
          <w:lang w:eastAsia="tr-TR"/>
        </w:rPr>
        <w:t xml:space="preserve"> azaltırken, daha riskli olarak değerlendirdiği krediler üzerinden aldıkları kar marjlarını, faiz dışında alınan ücret ve komisyonları, vade ve teminat ihtiyacına ilişkin koşulları,  kredi ya da kredi limitinin büyüklüğü ve kredi sözleşmesi özel koşullarını artırmaya devam ettiği görülmektedir (Tablo 2).</w:t>
      </w:r>
    </w:p>
    <w:p w:rsidR="000A1DB0" w:rsidRPr="000A1DB0" w:rsidRDefault="000A1DB0" w:rsidP="000A1DB0">
      <w:pPr>
        <w:jc w:val="both"/>
        <w:rPr>
          <w:rFonts w:ascii="Times New Roman" w:eastAsiaTheme="minorEastAsia" w:hAnsi="Times New Roman" w:cs="Times New Roman"/>
          <w:lang w:eastAsia="tr-TR"/>
        </w:rPr>
      </w:pPr>
    </w:p>
    <w:p w:rsidR="000A1DB0" w:rsidRPr="000A1DB0" w:rsidRDefault="000A1DB0" w:rsidP="000A1DB0">
      <w:pPr>
        <w:jc w:val="both"/>
        <w:rPr>
          <w:rFonts w:ascii="Times New Roman" w:eastAsiaTheme="minorEastAsia" w:hAnsi="Times New Roman" w:cs="Times New Roman"/>
          <w:lang w:eastAsia="tr-TR"/>
        </w:rPr>
      </w:pPr>
    </w:p>
    <w:p w:rsidR="000A1DB0" w:rsidRPr="000A1DB0" w:rsidRDefault="000A1DB0" w:rsidP="000A1DB0">
      <w:pPr>
        <w:keepNext/>
        <w:spacing w:line="240" w:lineRule="auto"/>
        <w:jc w:val="both"/>
        <w:rPr>
          <w:rFonts w:ascii="Times New Roman" w:eastAsiaTheme="minorEastAsia" w:hAnsi="Times New Roman" w:cs="Times New Roman"/>
          <w:bCs/>
          <w:sz w:val="24"/>
          <w:szCs w:val="24"/>
          <w:lang w:eastAsia="tr-TR"/>
        </w:rPr>
      </w:pPr>
      <w:r w:rsidRPr="000A1DB0">
        <w:rPr>
          <w:rFonts w:ascii="Times New Roman" w:eastAsiaTheme="minorEastAsia" w:hAnsi="Times New Roman" w:cs="Times New Roman"/>
          <w:bCs/>
          <w:sz w:val="24"/>
          <w:szCs w:val="24"/>
          <w:lang w:eastAsia="tr-TR"/>
        </w:rPr>
        <w:lastRenderedPageBreak/>
        <w:t xml:space="preserve">Tablo </w:t>
      </w:r>
      <w:r w:rsidRPr="000A1DB0">
        <w:rPr>
          <w:rFonts w:ascii="Times New Roman" w:eastAsiaTheme="minorEastAsia" w:hAnsi="Times New Roman" w:cs="Times New Roman"/>
          <w:bCs/>
          <w:sz w:val="24"/>
          <w:szCs w:val="24"/>
          <w:lang w:eastAsia="tr-TR"/>
        </w:rPr>
        <w:fldChar w:fldCharType="begin"/>
      </w:r>
      <w:r w:rsidRPr="000A1DB0">
        <w:rPr>
          <w:rFonts w:ascii="Times New Roman" w:eastAsiaTheme="minorEastAsia" w:hAnsi="Times New Roman" w:cs="Times New Roman"/>
          <w:bCs/>
          <w:sz w:val="24"/>
          <w:szCs w:val="24"/>
          <w:lang w:eastAsia="tr-TR"/>
        </w:rPr>
        <w:instrText xml:space="preserve"> SEQ Tablo \* ARABIC </w:instrText>
      </w:r>
      <w:r w:rsidRPr="000A1DB0">
        <w:rPr>
          <w:rFonts w:ascii="Times New Roman" w:eastAsiaTheme="minorEastAsia" w:hAnsi="Times New Roman" w:cs="Times New Roman"/>
          <w:bCs/>
          <w:sz w:val="24"/>
          <w:szCs w:val="24"/>
          <w:lang w:eastAsia="tr-TR"/>
        </w:rPr>
        <w:fldChar w:fldCharType="separate"/>
      </w:r>
      <w:r w:rsidRPr="000A1DB0">
        <w:rPr>
          <w:rFonts w:ascii="Times New Roman" w:eastAsiaTheme="minorEastAsia" w:hAnsi="Times New Roman" w:cs="Times New Roman"/>
          <w:bCs/>
          <w:noProof/>
          <w:sz w:val="24"/>
          <w:szCs w:val="24"/>
          <w:lang w:eastAsia="tr-TR"/>
        </w:rPr>
        <w:t>2</w:t>
      </w:r>
      <w:r w:rsidRPr="000A1DB0">
        <w:rPr>
          <w:rFonts w:ascii="Times New Roman" w:eastAsiaTheme="minorEastAsia" w:hAnsi="Times New Roman" w:cs="Times New Roman"/>
          <w:bCs/>
          <w:sz w:val="24"/>
          <w:szCs w:val="24"/>
          <w:lang w:eastAsia="tr-TR"/>
        </w:rPr>
        <w:fldChar w:fldCharType="end"/>
      </w:r>
      <w:r w:rsidRPr="000A1DB0">
        <w:rPr>
          <w:rFonts w:ascii="Times New Roman" w:eastAsiaTheme="minorEastAsia" w:hAnsi="Times New Roman" w:cs="Times New Roman"/>
          <w:bCs/>
          <w:sz w:val="24"/>
          <w:szCs w:val="24"/>
          <w:lang w:eastAsia="tr-TR"/>
        </w:rPr>
        <w:t>: İşletmelere verilen krediler: koşullar ve kurallar</w:t>
      </w:r>
    </w:p>
    <w:p w:rsidR="000A1DB0" w:rsidRPr="000A1DB0" w:rsidRDefault="000A1DB0" w:rsidP="000A1DB0">
      <w:pPr>
        <w:jc w:val="both"/>
        <w:rPr>
          <w:rFonts w:ascii="Times New Roman" w:eastAsiaTheme="minorEastAsia" w:hAnsi="Times New Roman" w:cs="Times New Roman"/>
          <w:lang w:eastAsia="tr-TR"/>
        </w:rPr>
      </w:pPr>
      <w:r w:rsidRPr="000A1DB0">
        <w:rPr>
          <w:rFonts w:eastAsiaTheme="minorEastAsia"/>
          <w:noProof/>
          <w:lang w:eastAsia="tr-TR"/>
        </w:rPr>
        <w:drawing>
          <wp:inline distT="0" distB="0" distL="0" distR="0" wp14:anchorId="0D2A3F0A" wp14:editId="28C10986">
            <wp:extent cx="5972342" cy="27622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317" cy="2764089"/>
                    </a:xfrm>
                    <a:prstGeom prst="rect">
                      <a:avLst/>
                    </a:prstGeom>
                    <a:noFill/>
                    <a:ln>
                      <a:noFill/>
                    </a:ln>
                  </pic:spPr>
                </pic:pic>
              </a:graphicData>
            </a:graphic>
          </wp:inline>
        </w:drawing>
      </w:r>
    </w:p>
    <w:p w:rsidR="000A1DB0" w:rsidRPr="000A1DB0" w:rsidRDefault="000A1DB0" w:rsidP="000A1DB0">
      <w:pPr>
        <w:jc w:val="both"/>
        <w:rPr>
          <w:rFonts w:ascii="Times New Roman" w:eastAsiaTheme="minorEastAsia" w:hAnsi="Times New Roman" w:cs="Times New Roman"/>
          <w:lang w:eastAsia="tr-TR"/>
        </w:rPr>
      </w:pPr>
      <w:r w:rsidRPr="000A1DB0">
        <w:rPr>
          <w:rFonts w:ascii="Times New Roman" w:eastAsiaTheme="minorEastAsia" w:hAnsi="Times New Roman" w:cs="Times New Roman"/>
          <w:lang w:eastAsia="tr-TR"/>
        </w:rPr>
        <w:t xml:space="preserve">2018 yılı son çeyreğinde genel olarak işletmelerin banka kredilerine olan talebinin bir önceki çeyreğe kıyasla azaldığı görülmektedir. Bankalar, sabit yatırımlar, stok artırımı ve işletme sermayesi, borçlanmak için menkul kıymet ihracı ve hisse senedi ihracı talebi faktörlerinin azaltıcı yönde etkisi olduğunu ifade edilmiştir. Bununla birlikte borcun yeniden yapılandırılması, satıcıların peşin alımlarda uyguladığı </w:t>
      </w:r>
      <w:proofErr w:type="spellStart"/>
      <w:r w:rsidRPr="000A1DB0">
        <w:rPr>
          <w:rFonts w:ascii="Times New Roman" w:eastAsiaTheme="minorEastAsia" w:hAnsi="Times New Roman" w:cs="Times New Roman"/>
          <w:lang w:eastAsia="tr-TR"/>
        </w:rPr>
        <w:t>iskonto</w:t>
      </w:r>
      <w:proofErr w:type="spellEnd"/>
      <w:r w:rsidRPr="000A1DB0">
        <w:rPr>
          <w:rFonts w:ascii="Times New Roman" w:eastAsiaTheme="minorEastAsia" w:hAnsi="Times New Roman" w:cs="Times New Roman"/>
          <w:lang w:eastAsia="tr-TR"/>
        </w:rPr>
        <w:t xml:space="preserve"> ve kolaylıklar, diğer bankalardan alınan krediler, banka dışı mali kesimden alınan krediler, iç finansman kullanımı, birleşmeler/satın almalar ve yeniden yapılanma, krediler üzerindeki vergi ve benzeri yükler talebi artırıcı yönde etki yarattığı da belirtilmiştir. 2019 yılının ilk çeyreğinde işletmelere kullandırılan kredi talebinde azalışın devam etmesi beklenmektedir.</w:t>
      </w:r>
    </w:p>
    <w:p w:rsidR="000A1DB0" w:rsidRPr="000A1DB0" w:rsidRDefault="000A1DB0" w:rsidP="000A1DB0">
      <w:pPr>
        <w:jc w:val="both"/>
        <w:rPr>
          <w:rFonts w:ascii="Times New Roman" w:eastAsiaTheme="minorEastAsia" w:hAnsi="Times New Roman" w:cs="Times New Roman"/>
          <w:lang w:eastAsia="tr-TR"/>
        </w:rPr>
      </w:pPr>
      <w:r w:rsidRPr="000A1DB0">
        <w:rPr>
          <w:rFonts w:ascii="Times New Roman" w:eastAsiaTheme="minorEastAsia" w:hAnsi="Times New Roman" w:cs="Times New Roman"/>
          <w:lang w:eastAsia="tr-TR"/>
        </w:rPr>
        <w:t>Bireysel kredilere uygulanan standartların değişimi incelendiğinde, konut, taşıt ve diğer bireysel kredilere uygulanan standartlar sıkılaştırılmıştır. Kredilere uygulanan standartların sıkılaştırılması, genel ekonomik faaliyetlere ilişkin beklentilerden kaynaklanmıştır. 2019 yılı ilk çeyreğine ilişkin beklentilerin, konut ve diğer bireysel kredilerde standartların gevşeyeceği, taşıt kredilerinde standartların aynı bırakılacağı yönünde olduğu görülmektedir.</w:t>
      </w:r>
    </w:p>
    <w:p w:rsidR="000A1DB0" w:rsidRPr="000A1DB0" w:rsidRDefault="000A1DB0" w:rsidP="000A1DB0">
      <w:pPr>
        <w:jc w:val="both"/>
        <w:rPr>
          <w:rFonts w:ascii="Times New Roman" w:eastAsiaTheme="minorEastAsia" w:hAnsi="Times New Roman" w:cs="Times New Roman"/>
          <w:lang w:eastAsia="tr-TR"/>
        </w:rPr>
      </w:pPr>
    </w:p>
    <w:p w:rsidR="000A1DB0" w:rsidRPr="000A1DB0" w:rsidRDefault="000A1DB0" w:rsidP="000A1DB0">
      <w:pPr>
        <w:jc w:val="both"/>
        <w:rPr>
          <w:rFonts w:ascii="Times New Roman" w:eastAsiaTheme="minorEastAsia" w:hAnsi="Times New Roman" w:cs="Times New Roman"/>
          <w:lang w:eastAsia="tr-TR"/>
        </w:rPr>
      </w:pPr>
    </w:p>
    <w:p w:rsidR="000A1DB0" w:rsidRPr="000A1DB0" w:rsidRDefault="000A1DB0" w:rsidP="000A1DB0">
      <w:pPr>
        <w:jc w:val="both"/>
        <w:rPr>
          <w:rFonts w:ascii="Times New Roman" w:eastAsiaTheme="minorEastAsia" w:hAnsi="Times New Roman" w:cs="Times New Roman"/>
          <w:lang w:eastAsia="tr-TR"/>
        </w:rPr>
      </w:pPr>
    </w:p>
    <w:p w:rsidR="000A1DB0" w:rsidRPr="000A1DB0" w:rsidRDefault="000A1DB0" w:rsidP="000A1DB0">
      <w:pPr>
        <w:jc w:val="both"/>
        <w:rPr>
          <w:rFonts w:ascii="Times New Roman" w:eastAsiaTheme="minorEastAsia" w:hAnsi="Times New Roman" w:cs="Times New Roman"/>
          <w:lang w:eastAsia="tr-TR"/>
        </w:rPr>
      </w:pPr>
    </w:p>
    <w:p w:rsidR="000A1DB0" w:rsidRPr="000A1DB0" w:rsidRDefault="000A1DB0" w:rsidP="000A1DB0">
      <w:pPr>
        <w:jc w:val="both"/>
        <w:rPr>
          <w:rFonts w:ascii="Times New Roman" w:eastAsiaTheme="minorEastAsia" w:hAnsi="Times New Roman" w:cs="Times New Roman"/>
          <w:lang w:eastAsia="tr-TR"/>
        </w:rPr>
      </w:pPr>
    </w:p>
    <w:p w:rsidR="000A1DB0" w:rsidRPr="000A1DB0" w:rsidRDefault="000A1DB0" w:rsidP="000A1DB0">
      <w:pPr>
        <w:jc w:val="both"/>
        <w:rPr>
          <w:rFonts w:ascii="Times New Roman" w:eastAsiaTheme="minorEastAsia" w:hAnsi="Times New Roman" w:cs="Times New Roman"/>
          <w:lang w:eastAsia="tr-TR"/>
        </w:rPr>
      </w:pPr>
    </w:p>
    <w:p w:rsidR="000A1DB0" w:rsidRPr="000A1DB0" w:rsidRDefault="000A1DB0" w:rsidP="000A1DB0">
      <w:pPr>
        <w:jc w:val="both"/>
        <w:rPr>
          <w:rFonts w:ascii="Times New Roman" w:eastAsiaTheme="minorEastAsia" w:hAnsi="Times New Roman" w:cs="Times New Roman"/>
          <w:lang w:eastAsia="tr-TR"/>
        </w:rPr>
      </w:pPr>
    </w:p>
    <w:p w:rsidR="000A1DB0" w:rsidRPr="000A1DB0" w:rsidRDefault="000A1DB0" w:rsidP="000A1DB0">
      <w:pPr>
        <w:jc w:val="both"/>
        <w:rPr>
          <w:rFonts w:ascii="Times New Roman" w:eastAsiaTheme="minorEastAsia" w:hAnsi="Times New Roman" w:cs="Times New Roman"/>
          <w:lang w:eastAsia="tr-TR"/>
        </w:rPr>
      </w:pPr>
      <w:r w:rsidRPr="000A1DB0">
        <w:rPr>
          <w:rFonts w:ascii="Times New Roman" w:eastAsiaTheme="minorEastAsia" w:hAnsi="Times New Roman" w:cs="Times New Roman"/>
          <w:lang w:eastAsia="tr-TR"/>
        </w:rPr>
        <w:lastRenderedPageBreak/>
        <w:t xml:space="preserve">Şekil </w:t>
      </w:r>
      <w:r w:rsidRPr="000A1DB0">
        <w:rPr>
          <w:rFonts w:ascii="Times New Roman" w:eastAsiaTheme="minorEastAsia" w:hAnsi="Times New Roman" w:cs="Times New Roman"/>
          <w:b/>
          <w:bCs/>
          <w:lang w:eastAsia="tr-TR"/>
        </w:rPr>
        <w:fldChar w:fldCharType="begin"/>
      </w:r>
      <w:r w:rsidRPr="000A1DB0">
        <w:rPr>
          <w:rFonts w:ascii="Times New Roman" w:eastAsiaTheme="minorEastAsia" w:hAnsi="Times New Roman" w:cs="Times New Roman"/>
          <w:lang w:eastAsia="tr-TR"/>
        </w:rPr>
        <w:instrText xml:space="preserve"> SEQ Şekil \* ARABIC </w:instrText>
      </w:r>
      <w:r w:rsidRPr="000A1DB0">
        <w:rPr>
          <w:rFonts w:ascii="Times New Roman" w:eastAsiaTheme="minorEastAsia" w:hAnsi="Times New Roman" w:cs="Times New Roman"/>
          <w:b/>
          <w:bCs/>
          <w:lang w:eastAsia="tr-TR"/>
        </w:rPr>
        <w:fldChar w:fldCharType="separate"/>
      </w:r>
      <w:r w:rsidRPr="000A1DB0">
        <w:rPr>
          <w:rFonts w:ascii="Times New Roman" w:eastAsiaTheme="minorEastAsia" w:hAnsi="Times New Roman" w:cs="Times New Roman"/>
          <w:noProof/>
          <w:lang w:eastAsia="tr-TR"/>
        </w:rPr>
        <w:t>2</w:t>
      </w:r>
      <w:r w:rsidRPr="000A1DB0">
        <w:rPr>
          <w:rFonts w:ascii="Times New Roman" w:eastAsiaTheme="minorEastAsia" w:hAnsi="Times New Roman" w:cs="Times New Roman"/>
          <w:b/>
          <w:bCs/>
          <w:lang w:eastAsia="tr-TR"/>
        </w:rPr>
        <w:fldChar w:fldCharType="end"/>
      </w:r>
      <w:r w:rsidRPr="000A1DB0">
        <w:rPr>
          <w:rFonts w:ascii="Times New Roman" w:eastAsiaTheme="minorEastAsia" w:hAnsi="Times New Roman" w:cs="Times New Roman"/>
          <w:lang w:eastAsia="tr-TR"/>
        </w:rPr>
        <w:t>: Bireysel kredi standartlarında değişim bildiren bankaların net yüzde oranları (&gt;0 = Arttı; &lt;0 = Azaldı)</w:t>
      </w:r>
    </w:p>
    <w:p w:rsidR="000A1DB0" w:rsidRPr="000A1DB0" w:rsidRDefault="000A1DB0" w:rsidP="000A1DB0">
      <w:pPr>
        <w:spacing w:after="0" w:line="240" w:lineRule="auto"/>
        <w:jc w:val="both"/>
        <w:rPr>
          <w:rFonts w:ascii="Times New Roman" w:eastAsiaTheme="minorEastAsia" w:hAnsi="Times New Roman" w:cs="Times New Roman"/>
          <w:b/>
          <w:sz w:val="16"/>
          <w:lang w:eastAsia="tr-TR"/>
        </w:rPr>
      </w:pPr>
      <w:r w:rsidRPr="000A1DB0">
        <w:rPr>
          <w:rFonts w:eastAsiaTheme="minorEastAsia"/>
          <w:noProof/>
          <w:lang w:eastAsia="tr-TR"/>
        </w:rPr>
        <w:drawing>
          <wp:inline distT="0" distB="0" distL="0" distR="0" wp14:anchorId="10971793" wp14:editId="0F70173B">
            <wp:extent cx="5972175" cy="762000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7711" cy="7627063"/>
                    </a:xfrm>
                    <a:prstGeom prst="rect">
                      <a:avLst/>
                    </a:prstGeom>
                    <a:noFill/>
                    <a:ln>
                      <a:noFill/>
                    </a:ln>
                  </pic:spPr>
                </pic:pic>
              </a:graphicData>
            </a:graphic>
          </wp:inline>
        </w:drawing>
      </w:r>
    </w:p>
    <w:p w:rsidR="000A1DB0" w:rsidRPr="000A1DB0" w:rsidRDefault="000A1DB0" w:rsidP="000A1DB0">
      <w:pPr>
        <w:spacing w:after="0" w:line="240" w:lineRule="auto"/>
        <w:jc w:val="both"/>
        <w:rPr>
          <w:rFonts w:ascii="Times New Roman" w:eastAsiaTheme="minorEastAsia" w:hAnsi="Times New Roman" w:cs="Times New Roman"/>
          <w:b/>
          <w:sz w:val="16"/>
          <w:lang w:eastAsia="tr-TR"/>
        </w:rPr>
      </w:pPr>
      <w:r w:rsidRPr="000A1DB0">
        <w:rPr>
          <w:rFonts w:ascii="Times New Roman" w:eastAsiaTheme="minorEastAsia" w:hAnsi="Times New Roman" w:cs="Times New Roman"/>
          <w:b/>
          <w:sz w:val="16"/>
          <w:lang w:eastAsia="tr-TR"/>
        </w:rPr>
        <w:t>Kaynak: TCMB</w:t>
      </w:r>
    </w:p>
    <w:p w:rsidR="000A1DB0" w:rsidRPr="000A1DB0" w:rsidRDefault="000A1DB0" w:rsidP="000A1DB0">
      <w:pPr>
        <w:jc w:val="both"/>
        <w:rPr>
          <w:rFonts w:ascii="Times New Roman" w:eastAsiaTheme="minorEastAsia" w:hAnsi="Times New Roman" w:cs="Times New Roman"/>
          <w:lang w:eastAsia="tr-TR"/>
        </w:rPr>
      </w:pPr>
      <w:r w:rsidRPr="000A1DB0">
        <w:rPr>
          <w:rFonts w:ascii="Times New Roman" w:eastAsiaTheme="minorEastAsia" w:hAnsi="Times New Roman" w:cs="Times New Roman"/>
          <w:lang w:eastAsia="tr-TR"/>
        </w:rPr>
        <w:lastRenderedPageBreak/>
        <w:t>2018 yılı son çeyreğinde konut piyasasına ilişkin beklentiler, konut alımı dışındaki tüketim harcamaları,  tüketici güveni, bireysel tasarruflar ve diğer bankalardan sağlanan krediler konut kredisi talebini azaltıcı yönde etkili olduğu belirlenmiştir. Taşıt kredilerine olan talebi, diğer bankalardan sağlanan krediler, diğer finansman kaynakları ve krediler üzerindeki vergi ve benzeri yükler artırıcı yönde etkilediği belirlenmiştir. Diğer bireysel kredilerde ise dayanıklı tüketim mallarına yapılan harcama, tüketici güveni, bireysel tasarruflar, menkul kıymet alımları, diğer bankalardan sağlanan krediler ve diğer finansman kaynakları talebi azaltıcı yönde etkilemiştir. 2019 yılının birinci çeyreğine ilişkin beklentiler; tüm bireysel kredilerde talebin azalacağı yönündedir.</w:t>
      </w:r>
    </w:p>
    <w:p w:rsidR="000A1DB0" w:rsidRPr="000A1DB0" w:rsidRDefault="000A1DB0" w:rsidP="000A1DB0">
      <w:pPr>
        <w:jc w:val="both"/>
        <w:rPr>
          <w:rFonts w:ascii="Times New Roman" w:eastAsiaTheme="minorEastAsia" w:hAnsi="Times New Roman" w:cs="Times New Roman"/>
          <w:lang w:eastAsia="tr-TR"/>
        </w:rPr>
      </w:pPr>
      <w:r w:rsidRPr="000A1DB0">
        <w:rPr>
          <w:rFonts w:ascii="Times New Roman" w:eastAsiaTheme="minorEastAsia" w:hAnsi="Times New Roman" w:cs="Times New Roman"/>
          <w:lang w:eastAsia="tr-TR"/>
        </w:rPr>
        <w:t>Son olarak bankaların fonlama koşullarını incelemek gerekirse, yurt içi ve yurt dışı fonlama koşullarının 2018 yılının son çeyreğinde sıkılaşmanın azalarak devam ettiği görülmektedir. Diğer koşul ve kurallar yurt dışı fonlama koşullarını gevşetici yönde etkilerken, yurt dışı fonlama maliyeti sıkılaştırıcı yönde etkilemiştir. 2019 yılı ilk çeyreğine ilişkin beklentiler yurt içi fonlama koşullarının gevşeyeceği, yurt dışı fonlama koşullarının sıkılaşacağı yönündedir (Şekil 3).</w:t>
      </w:r>
    </w:p>
    <w:p w:rsidR="000A1DB0" w:rsidRPr="000A1DB0" w:rsidRDefault="000A1DB0" w:rsidP="000A1DB0">
      <w:pPr>
        <w:keepNext/>
        <w:spacing w:line="240" w:lineRule="auto"/>
        <w:jc w:val="both"/>
        <w:rPr>
          <w:rFonts w:ascii="Times New Roman" w:eastAsiaTheme="minorEastAsia" w:hAnsi="Times New Roman" w:cs="Times New Roman"/>
          <w:lang w:eastAsia="tr-TR"/>
        </w:rPr>
      </w:pPr>
      <w:r w:rsidRPr="000A1DB0">
        <w:rPr>
          <w:rFonts w:ascii="Times New Roman" w:eastAsiaTheme="minorEastAsia" w:hAnsi="Times New Roman" w:cs="Times New Roman"/>
          <w:lang w:eastAsia="tr-TR"/>
        </w:rPr>
        <w:t xml:space="preserve">Şekil </w:t>
      </w:r>
      <w:r w:rsidRPr="000A1DB0">
        <w:rPr>
          <w:rFonts w:ascii="Times New Roman" w:eastAsiaTheme="minorEastAsia" w:hAnsi="Times New Roman" w:cs="Times New Roman"/>
          <w:lang w:eastAsia="tr-TR"/>
        </w:rPr>
        <w:fldChar w:fldCharType="begin"/>
      </w:r>
      <w:r w:rsidRPr="000A1DB0">
        <w:rPr>
          <w:rFonts w:ascii="Times New Roman" w:eastAsiaTheme="minorEastAsia" w:hAnsi="Times New Roman" w:cs="Times New Roman"/>
          <w:lang w:eastAsia="tr-TR"/>
        </w:rPr>
        <w:instrText xml:space="preserve"> SEQ Şekil \* ARABIC </w:instrText>
      </w:r>
      <w:r w:rsidRPr="000A1DB0">
        <w:rPr>
          <w:rFonts w:ascii="Times New Roman" w:eastAsiaTheme="minorEastAsia" w:hAnsi="Times New Roman" w:cs="Times New Roman"/>
          <w:lang w:eastAsia="tr-TR"/>
        </w:rPr>
        <w:fldChar w:fldCharType="separate"/>
      </w:r>
      <w:r w:rsidRPr="000A1DB0">
        <w:rPr>
          <w:rFonts w:ascii="Times New Roman" w:eastAsiaTheme="minorEastAsia" w:hAnsi="Times New Roman" w:cs="Times New Roman"/>
          <w:noProof/>
          <w:lang w:eastAsia="tr-TR"/>
        </w:rPr>
        <w:t>3</w:t>
      </w:r>
      <w:r w:rsidRPr="000A1DB0">
        <w:rPr>
          <w:rFonts w:ascii="Times New Roman" w:eastAsiaTheme="minorEastAsia" w:hAnsi="Times New Roman" w:cs="Times New Roman"/>
          <w:lang w:eastAsia="tr-TR"/>
        </w:rPr>
        <w:fldChar w:fldCharType="end"/>
      </w:r>
      <w:r w:rsidRPr="000A1DB0">
        <w:rPr>
          <w:rFonts w:ascii="Times New Roman" w:eastAsiaTheme="minorEastAsia" w:hAnsi="Times New Roman" w:cs="Times New Roman"/>
          <w:lang w:eastAsia="tr-TR"/>
        </w:rPr>
        <w:t>: Fonlama koşullarında değişim bildiren bankaların net yüzde oranları (&gt;0 = Gevşeme; &lt;0 = Sıkılaşma)</w:t>
      </w:r>
    </w:p>
    <w:p w:rsidR="000A1DB0" w:rsidRPr="000A1DB0" w:rsidRDefault="000A1DB0" w:rsidP="000A1DB0">
      <w:pPr>
        <w:spacing w:after="0" w:line="240" w:lineRule="auto"/>
        <w:jc w:val="both"/>
        <w:rPr>
          <w:rFonts w:ascii="Times New Roman" w:eastAsiaTheme="minorEastAsia" w:hAnsi="Times New Roman" w:cs="Times New Roman"/>
          <w:lang w:eastAsia="tr-TR"/>
        </w:rPr>
      </w:pPr>
      <w:r w:rsidRPr="000A1DB0">
        <w:rPr>
          <w:rFonts w:eastAsiaTheme="minorEastAsia"/>
          <w:noProof/>
          <w:lang w:eastAsia="tr-TR"/>
        </w:rPr>
        <w:drawing>
          <wp:inline distT="0" distB="0" distL="0" distR="0" wp14:anchorId="5A37E815" wp14:editId="2DCF4991">
            <wp:extent cx="5972710" cy="24384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6555" cy="2439970"/>
                    </a:xfrm>
                    <a:prstGeom prst="rect">
                      <a:avLst/>
                    </a:prstGeom>
                    <a:noFill/>
                    <a:ln>
                      <a:noFill/>
                    </a:ln>
                  </pic:spPr>
                </pic:pic>
              </a:graphicData>
            </a:graphic>
          </wp:inline>
        </w:drawing>
      </w:r>
    </w:p>
    <w:p w:rsidR="000A1DB0" w:rsidRPr="000A1DB0" w:rsidRDefault="000A1DB0" w:rsidP="000A1DB0">
      <w:pPr>
        <w:spacing w:after="0" w:line="240" w:lineRule="auto"/>
        <w:jc w:val="both"/>
        <w:rPr>
          <w:rFonts w:ascii="Times New Roman" w:eastAsiaTheme="minorEastAsia" w:hAnsi="Times New Roman" w:cs="Times New Roman"/>
          <w:b/>
          <w:sz w:val="16"/>
          <w:lang w:eastAsia="tr-TR"/>
        </w:rPr>
      </w:pPr>
      <w:r w:rsidRPr="000A1DB0">
        <w:rPr>
          <w:rFonts w:ascii="Times New Roman" w:eastAsiaTheme="minorEastAsia" w:hAnsi="Times New Roman" w:cs="Times New Roman"/>
          <w:b/>
          <w:sz w:val="16"/>
          <w:lang w:eastAsia="tr-TR"/>
        </w:rPr>
        <w:t>Kaynak: TCMB</w:t>
      </w:r>
    </w:p>
    <w:p w:rsidR="00D764F4" w:rsidRDefault="00D764F4"/>
    <w:p w:rsidR="000A1DB0" w:rsidRDefault="000A1DB0"/>
    <w:p w:rsidR="000A1DB0" w:rsidRDefault="000A1DB0"/>
    <w:p w:rsidR="000A1DB0" w:rsidRDefault="000A1DB0"/>
    <w:p w:rsidR="000A1DB0" w:rsidRDefault="000A1DB0"/>
    <w:p w:rsidR="000A1DB0" w:rsidRDefault="000A1DB0"/>
    <w:p w:rsidR="000A1DB0" w:rsidRDefault="000A1DB0"/>
    <w:p w:rsidR="000A1DB0" w:rsidRDefault="000A1DB0"/>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22"/>
        <w:gridCol w:w="4177"/>
      </w:tblGrid>
      <w:tr w:rsidR="000A1DB0" w:rsidRPr="009C3D5A" w:rsidTr="00744398">
        <w:trPr>
          <w:trHeight w:val="915"/>
        </w:trPr>
        <w:tc>
          <w:tcPr>
            <w:tcW w:w="5644" w:type="dxa"/>
            <w:vAlign w:val="center"/>
          </w:tcPr>
          <w:p w:rsidR="000A1DB0" w:rsidRPr="009C3D5A" w:rsidRDefault="000A1DB0" w:rsidP="00744398">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lastRenderedPageBreak/>
              <w:t>2018</w:t>
            </w:r>
            <w:r w:rsidRPr="009C3D5A">
              <w:rPr>
                <w:rFonts w:asciiTheme="majorHAnsi" w:eastAsiaTheme="majorEastAsia" w:hAnsiTheme="majorHAnsi" w:cstheme="majorBidi"/>
                <w:sz w:val="36"/>
                <w:szCs w:val="36"/>
              </w:rPr>
              <w:t xml:space="preserve"> </w:t>
            </w:r>
            <w:r>
              <w:rPr>
                <w:rFonts w:asciiTheme="majorHAnsi" w:eastAsiaTheme="majorEastAsia" w:hAnsiTheme="majorHAnsi" w:cstheme="majorBidi"/>
                <w:sz w:val="36"/>
                <w:szCs w:val="36"/>
              </w:rPr>
              <w:t>Aralık</w:t>
            </w:r>
            <w:r w:rsidRPr="009C3D5A">
              <w:rPr>
                <w:rFonts w:asciiTheme="majorHAnsi" w:eastAsiaTheme="majorEastAsia" w:hAnsiTheme="majorHAnsi" w:cstheme="majorBidi"/>
                <w:sz w:val="36"/>
                <w:szCs w:val="36"/>
              </w:rPr>
              <w:t xml:space="preserve"> </w:t>
            </w:r>
          </w:p>
          <w:p w:rsidR="000A1DB0" w:rsidRPr="009C3D5A" w:rsidRDefault="000A1DB0" w:rsidP="00744398">
            <w:pPr>
              <w:pStyle w:val="stbilgi"/>
              <w:jc w:val="right"/>
              <w:rPr>
                <w:rFonts w:asciiTheme="majorHAnsi" w:eastAsiaTheme="majorEastAsia" w:hAnsiTheme="majorHAnsi" w:cstheme="majorBidi"/>
                <w:sz w:val="36"/>
                <w:szCs w:val="36"/>
              </w:rPr>
            </w:pPr>
            <w:r w:rsidRPr="009C3D5A">
              <w:rPr>
                <w:rFonts w:asciiTheme="majorHAnsi" w:eastAsiaTheme="majorEastAsia" w:hAnsiTheme="majorHAnsi" w:cstheme="majorBidi"/>
                <w:sz w:val="36"/>
                <w:szCs w:val="36"/>
              </w:rPr>
              <w:t>DIŞ TİCARET BÜLTENİ</w:t>
            </w:r>
          </w:p>
        </w:tc>
        <w:tc>
          <w:tcPr>
            <w:tcW w:w="4678" w:type="dxa"/>
          </w:tcPr>
          <w:p w:rsidR="000A1DB0" w:rsidRPr="009C3D5A" w:rsidRDefault="000A1DB0" w:rsidP="00744398">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 xml:space="preserve">31 Ocak </w:t>
            </w:r>
            <w:r w:rsidRPr="009C3D5A">
              <w:rPr>
                <w:rFonts w:asciiTheme="majorHAnsi" w:eastAsiaTheme="majorEastAsia" w:hAnsiTheme="majorHAnsi" w:cstheme="majorBidi"/>
                <w:bCs/>
                <w:sz w:val="28"/>
                <w:szCs w:val="36"/>
              </w:rPr>
              <w:t>201</w:t>
            </w:r>
            <w:r>
              <w:rPr>
                <w:rFonts w:asciiTheme="majorHAnsi" w:eastAsiaTheme="majorEastAsia" w:hAnsiTheme="majorHAnsi" w:cstheme="majorBidi"/>
                <w:bCs/>
                <w:sz w:val="28"/>
                <w:szCs w:val="36"/>
              </w:rPr>
              <w:t>8</w:t>
            </w:r>
            <w:r w:rsidRPr="009C3D5A">
              <w:rPr>
                <w:rFonts w:asciiTheme="majorHAnsi" w:eastAsiaTheme="majorEastAsia" w:hAnsiTheme="majorHAnsi" w:cstheme="majorBidi"/>
                <w:bCs/>
                <w:sz w:val="28"/>
                <w:szCs w:val="36"/>
              </w:rPr>
              <w:t xml:space="preserve">                </w:t>
            </w:r>
          </w:p>
        </w:tc>
      </w:tr>
    </w:tbl>
    <w:p w:rsidR="000A1DB0" w:rsidRPr="009C3D5A" w:rsidRDefault="000A1DB0" w:rsidP="000A1DB0">
      <w:pPr>
        <w:pStyle w:val="stbilgi"/>
      </w:pPr>
    </w:p>
    <w:p w:rsidR="000A1DB0" w:rsidRPr="009C3D5A" w:rsidRDefault="000A1DB0" w:rsidP="000A1DB0">
      <w:pPr>
        <w:jc w:val="both"/>
        <w:rPr>
          <w:b/>
        </w:rPr>
      </w:pPr>
      <w:r>
        <w:rPr>
          <w:b/>
        </w:rPr>
        <w:t>Aralık</w:t>
      </w:r>
      <w:r w:rsidRPr="009C3D5A">
        <w:rPr>
          <w:b/>
        </w:rPr>
        <w:t xml:space="preserve"> 201</w:t>
      </w:r>
      <w:r>
        <w:rPr>
          <w:b/>
        </w:rPr>
        <w:t>8</w:t>
      </w:r>
      <w:r w:rsidRPr="009C3D5A">
        <w:rPr>
          <w:b/>
        </w:rPr>
        <w:t xml:space="preserve"> Dış ticaret istatistiklerine ilişkin veriler Türkiye İstati</w:t>
      </w:r>
      <w:r>
        <w:rPr>
          <w:b/>
        </w:rPr>
        <w:t>stik Kurumu (TÜİK) tarafından 31 Ocak</w:t>
      </w:r>
      <w:r w:rsidRPr="009C3D5A">
        <w:rPr>
          <w:b/>
        </w:rPr>
        <w:t xml:space="preserve"> 201</w:t>
      </w:r>
      <w:r>
        <w:rPr>
          <w:b/>
        </w:rPr>
        <w:t>8</w:t>
      </w:r>
      <w:r w:rsidRPr="009C3D5A">
        <w:rPr>
          <w:b/>
        </w:rPr>
        <w:t xml:space="preserve"> tarihinde yayımlandı.</w:t>
      </w:r>
    </w:p>
    <w:p w:rsidR="000A1DB0" w:rsidRPr="009C3D5A" w:rsidRDefault="000A1DB0" w:rsidP="000A1DB0">
      <w:pPr>
        <w:jc w:val="both"/>
      </w:pPr>
      <w:r w:rsidRPr="009C3D5A">
        <w:t>TÜİK</w:t>
      </w:r>
      <w:r>
        <w:t>,</w:t>
      </w:r>
      <w:r w:rsidRPr="009C3D5A">
        <w:t xml:space="preserve"> Gümrük ve Ticaret Bakanlığı işbirliği ile hazırladığı dış ticaret verilerini aylık olarak yayınlamaktadır. </w:t>
      </w:r>
    </w:p>
    <w:p w:rsidR="000A1DB0" w:rsidRPr="009C3D5A" w:rsidRDefault="000A1DB0" w:rsidP="000A1DB0">
      <w:pPr>
        <w:jc w:val="both"/>
      </w:pPr>
      <w:r>
        <w:t>2018 Aralık’ta</w:t>
      </w:r>
      <w:r w:rsidRPr="009C3D5A">
        <w:t xml:space="preserve"> Türkiye’nin ihracatı</w:t>
      </w:r>
      <w:r>
        <w:t>,</w:t>
      </w:r>
      <w:r w:rsidRPr="009C3D5A">
        <w:t xml:space="preserve"> bir önceki yılın aynı ayına göre yü</w:t>
      </w:r>
      <w:r>
        <w:t xml:space="preserve">zde 0,2 artarak 13 </w:t>
      </w:r>
      <w:r w:rsidRPr="009C3D5A">
        <w:t>milyar</w:t>
      </w:r>
      <w:r>
        <w:t xml:space="preserve"> 879 milyon dolar oldu</w:t>
      </w:r>
      <w:r w:rsidRPr="009C3D5A">
        <w:t xml:space="preserve">. </w:t>
      </w:r>
      <w:r>
        <w:t>Aralık</w:t>
      </w:r>
      <w:r w:rsidRPr="009C3D5A">
        <w:t xml:space="preserve"> ayı </w:t>
      </w:r>
      <w:r>
        <w:t>ithalatı, bir önceki yılın aynı ayına göre</w:t>
      </w:r>
      <w:r w:rsidRPr="009C3D5A">
        <w:t xml:space="preserve"> yüzde </w:t>
      </w:r>
      <w:r>
        <w:t>28,3 azalarak 16 milyar 553 milyon dolar olarak gerçekleşti</w:t>
      </w:r>
      <w:r w:rsidRPr="009C3D5A">
        <w:t xml:space="preserve">. </w:t>
      </w:r>
      <w:r>
        <w:t>Buna göre Aralık ayı dış ticaret açığı,</w:t>
      </w:r>
      <w:r w:rsidRPr="009C3D5A">
        <w:t xml:space="preserve"> yüzde </w:t>
      </w:r>
      <w:r>
        <w:t>71,1</w:t>
      </w:r>
      <w:r w:rsidRPr="009C3D5A">
        <w:t xml:space="preserve"> </w:t>
      </w:r>
      <w:r>
        <w:t>azalarak 2</w:t>
      </w:r>
      <w:r w:rsidRPr="009C3D5A">
        <w:t xml:space="preserve"> milyar </w:t>
      </w:r>
      <w:r>
        <w:t>674 milyon dolara geriledi. 2017 Aralık ayında yüzde 60 olan ihracatın ithalatı karşılama oranı ise 2018 Aralık’ta yüzde 83,8’e yükseldi.</w:t>
      </w:r>
    </w:p>
    <w:p w:rsidR="000A1DB0" w:rsidRPr="009C3D5A" w:rsidRDefault="000A1DB0" w:rsidP="000A1DB0">
      <w:pPr>
        <w:spacing w:after="0" w:line="240" w:lineRule="auto"/>
        <w:rPr>
          <w:rFonts w:eastAsia="Times New Roman" w:cs="Times New Roman"/>
          <w:b/>
          <w:bCs/>
          <w:kern w:val="36"/>
          <w:sz w:val="24"/>
          <w:szCs w:val="24"/>
        </w:rPr>
      </w:pPr>
      <w:r w:rsidRPr="009C3D5A">
        <w:rPr>
          <w:rFonts w:eastAsia="Times New Roman" w:cs="Times New Roman"/>
          <w:b/>
          <w:bCs/>
          <w:kern w:val="36"/>
          <w:sz w:val="24"/>
          <w:szCs w:val="24"/>
        </w:rPr>
        <w:t xml:space="preserve">Şekil 1: Aylara göre </w:t>
      </w:r>
      <w:r>
        <w:rPr>
          <w:rFonts w:eastAsia="Times New Roman" w:cs="Times New Roman"/>
          <w:b/>
          <w:bCs/>
          <w:kern w:val="36"/>
          <w:sz w:val="24"/>
          <w:szCs w:val="24"/>
        </w:rPr>
        <w:t>ihracat, milyar</w:t>
      </w:r>
      <w:r w:rsidRPr="009C3D5A">
        <w:rPr>
          <w:rFonts w:eastAsia="Times New Roman" w:cs="Times New Roman"/>
          <w:b/>
          <w:bCs/>
          <w:kern w:val="36"/>
          <w:sz w:val="24"/>
          <w:szCs w:val="24"/>
        </w:rPr>
        <w:t xml:space="preserve"> $ </w:t>
      </w:r>
      <w:r>
        <w:rPr>
          <w:rFonts w:eastAsia="Times New Roman" w:cs="Times New Roman"/>
          <w:b/>
          <w:bCs/>
          <w:kern w:val="36"/>
          <w:sz w:val="24"/>
          <w:szCs w:val="24"/>
        </w:rPr>
        <w:t xml:space="preserve"> (2017 Ocak-2018 Aralık</w:t>
      </w:r>
      <w:r w:rsidRPr="009C3D5A">
        <w:rPr>
          <w:rFonts w:eastAsia="Times New Roman" w:cs="Times New Roman"/>
          <w:b/>
          <w:bCs/>
          <w:kern w:val="36"/>
          <w:sz w:val="24"/>
          <w:szCs w:val="24"/>
        </w:rPr>
        <w:t>)</w:t>
      </w:r>
    </w:p>
    <w:p w:rsidR="000A1DB0" w:rsidRPr="009C3D5A" w:rsidRDefault="000A1DB0" w:rsidP="000A1DB0">
      <w:pPr>
        <w:spacing w:after="0" w:line="240" w:lineRule="auto"/>
        <w:rPr>
          <w:rFonts w:eastAsia="Times New Roman" w:cs="Times New Roman"/>
          <w:b/>
          <w:bCs/>
          <w:kern w:val="36"/>
          <w:sz w:val="24"/>
          <w:szCs w:val="24"/>
        </w:rPr>
      </w:pPr>
      <w:r>
        <w:rPr>
          <w:noProof/>
          <w:lang w:eastAsia="tr-TR"/>
        </w:rPr>
        <w:drawing>
          <wp:inline distT="0" distB="0" distL="0" distR="0" wp14:anchorId="13DDBF8F" wp14:editId="3D0A8B9E">
            <wp:extent cx="5730875" cy="1722120"/>
            <wp:effectExtent l="0" t="0" r="3175"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1DB0" w:rsidRPr="008D17ED" w:rsidRDefault="000A1DB0" w:rsidP="000A1DB0">
      <w:pPr>
        <w:spacing w:after="0" w:line="240" w:lineRule="auto"/>
        <w:rPr>
          <w:rFonts w:eastAsia="Times New Roman" w:cs="Times New Roman"/>
          <w:b/>
          <w:bCs/>
          <w:kern w:val="36"/>
          <w:sz w:val="16"/>
          <w:szCs w:val="24"/>
        </w:rPr>
      </w:pPr>
      <w:r w:rsidRPr="008D17ED">
        <w:rPr>
          <w:rFonts w:eastAsia="Times New Roman" w:cs="Times New Roman"/>
          <w:b/>
          <w:bCs/>
          <w:kern w:val="36"/>
          <w:sz w:val="16"/>
          <w:szCs w:val="24"/>
        </w:rPr>
        <w:t>Kaynak: TÜİK</w:t>
      </w:r>
    </w:p>
    <w:p w:rsidR="000A1DB0" w:rsidRPr="009C3D5A" w:rsidRDefault="000A1DB0" w:rsidP="000A1DB0">
      <w:pPr>
        <w:spacing w:after="0" w:line="240" w:lineRule="auto"/>
        <w:rPr>
          <w:rFonts w:eastAsia="Times New Roman" w:cs="Times New Roman"/>
          <w:bCs/>
          <w:kern w:val="36"/>
          <w:sz w:val="18"/>
          <w:szCs w:val="24"/>
        </w:rPr>
      </w:pPr>
    </w:p>
    <w:p w:rsidR="000A1DB0" w:rsidRDefault="000A1DB0" w:rsidP="000A1DB0">
      <w:pPr>
        <w:spacing w:after="0" w:line="240" w:lineRule="auto"/>
        <w:rPr>
          <w:rFonts w:eastAsia="Times New Roman" w:cs="Times New Roman"/>
          <w:b/>
          <w:bCs/>
          <w:kern w:val="36"/>
          <w:sz w:val="24"/>
          <w:szCs w:val="24"/>
        </w:rPr>
      </w:pPr>
      <w:r>
        <w:rPr>
          <w:rFonts w:eastAsia="Times New Roman" w:cs="Times New Roman"/>
          <w:b/>
          <w:bCs/>
          <w:kern w:val="36"/>
          <w:sz w:val="24"/>
          <w:szCs w:val="24"/>
        </w:rPr>
        <w:t>Şekil 2</w:t>
      </w:r>
      <w:r w:rsidRPr="009C3D5A">
        <w:rPr>
          <w:rFonts w:eastAsia="Times New Roman" w:cs="Times New Roman"/>
          <w:b/>
          <w:bCs/>
          <w:kern w:val="36"/>
          <w:sz w:val="24"/>
          <w:szCs w:val="24"/>
        </w:rPr>
        <w:t xml:space="preserve">: Aylara göre </w:t>
      </w:r>
      <w:r>
        <w:rPr>
          <w:rFonts w:eastAsia="Times New Roman" w:cs="Times New Roman"/>
          <w:b/>
          <w:bCs/>
          <w:kern w:val="36"/>
          <w:sz w:val="24"/>
          <w:szCs w:val="24"/>
        </w:rPr>
        <w:t>ithalat, milyar</w:t>
      </w:r>
      <w:r w:rsidRPr="009C3D5A">
        <w:rPr>
          <w:rFonts w:eastAsia="Times New Roman" w:cs="Times New Roman"/>
          <w:b/>
          <w:bCs/>
          <w:kern w:val="36"/>
          <w:sz w:val="24"/>
          <w:szCs w:val="24"/>
        </w:rPr>
        <w:t xml:space="preserve"> $ </w:t>
      </w:r>
      <w:r>
        <w:rPr>
          <w:rFonts w:eastAsia="Times New Roman" w:cs="Times New Roman"/>
          <w:b/>
          <w:bCs/>
          <w:kern w:val="36"/>
          <w:sz w:val="24"/>
          <w:szCs w:val="24"/>
        </w:rPr>
        <w:t xml:space="preserve"> (2017 Ocak-2018 Aralık</w:t>
      </w:r>
      <w:r w:rsidRPr="009C3D5A">
        <w:rPr>
          <w:rFonts w:eastAsia="Times New Roman" w:cs="Times New Roman"/>
          <w:b/>
          <w:bCs/>
          <w:kern w:val="36"/>
          <w:sz w:val="24"/>
          <w:szCs w:val="24"/>
        </w:rPr>
        <w:t>)</w:t>
      </w:r>
    </w:p>
    <w:p w:rsidR="000A1DB0" w:rsidRDefault="000A1DB0" w:rsidP="000A1DB0">
      <w:pPr>
        <w:spacing w:after="0" w:line="240" w:lineRule="auto"/>
        <w:rPr>
          <w:noProof/>
        </w:rPr>
      </w:pPr>
      <w:r>
        <w:rPr>
          <w:noProof/>
          <w:lang w:eastAsia="tr-TR"/>
        </w:rPr>
        <w:drawing>
          <wp:inline distT="0" distB="0" distL="0" distR="0" wp14:anchorId="589B0EDA" wp14:editId="4F95B4F5">
            <wp:extent cx="5730949" cy="1711842"/>
            <wp:effectExtent l="0" t="0" r="3175" b="3175"/>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1DB0" w:rsidRPr="002C7332" w:rsidRDefault="000A1DB0" w:rsidP="000A1DB0">
      <w:pPr>
        <w:spacing w:after="0" w:line="240" w:lineRule="auto"/>
        <w:rPr>
          <w:rFonts w:eastAsia="Times New Roman" w:cs="Times New Roman"/>
          <w:b/>
          <w:bCs/>
          <w:kern w:val="36"/>
          <w:sz w:val="24"/>
          <w:szCs w:val="24"/>
        </w:rPr>
      </w:pPr>
      <w:r w:rsidRPr="00DB359A">
        <w:rPr>
          <w:rFonts w:eastAsia="Times New Roman" w:cs="Times New Roman"/>
          <w:b/>
          <w:bCs/>
          <w:kern w:val="36"/>
          <w:sz w:val="14"/>
          <w:szCs w:val="24"/>
        </w:rPr>
        <w:t xml:space="preserve"> </w:t>
      </w:r>
      <w:r w:rsidRPr="008D17ED">
        <w:rPr>
          <w:rFonts w:eastAsia="Times New Roman" w:cs="Times New Roman"/>
          <w:b/>
          <w:bCs/>
          <w:kern w:val="36"/>
          <w:sz w:val="16"/>
          <w:szCs w:val="24"/>
        </w:rPr>
        <w:t>Kaynak: TÜİK</w:t>
      </w:r>
    </w:p>
    <w:p w:rsidR="000A1DB0" w:rsidRPr="008D17ED" w:rsidRDefault="000A1DB0" w:rsidP="000A1DB0">
      <w:pPr>
        <w:spacing w:after="0" w:line="240" w:lineRule="auto"/>
        <w:rPr>
          <w:rFonts w:eastAsia="Times New Roman" w:cs="Times New Roman"/>
          <w:b/>
          <w:bCs/>
          <w:kern w:val="36"/>
          <w:sz w:val="16"/>
          <w:szCs w:val="24"/>
        </w:rPr>
      </w:pPr>
    </w:p>
    <w:p w:rsidR="000A1DB0" w:rsidRDefault="000A1DB0" w:rsidP="000A1DB0">
      <w:pPr>
        <w:jc w:val="both"/>
      </w:pPr>
      <w:r w:rsidRPr="00E86C2E">
        <w:t>İhracat rakamları</w:t>
      </w:r>
      <w:r>
        <w:t xml:space="preserve"> 2018’in son ayında bir önceki aya göre yüzde 10,5 azalış; bir önceki yılın aynı dönemine göre ise yüzde 0,2 artış gösterirken, 13,9 milyar dolar olarak gerçekleşti. 2018 yılına düşüşle başlayan ithalat rakamları 2017</w:t>
      </w:r>
      <w:r w:rsidRPr="009C3D5A">
        <w:t xml:space="preserve"> </w:t>
      </w:r>
      <w:r>
        <w:t>Aralık’ta 23,1</w:t>
      </w:r>
      <w:r w:rsidRPr="009C3D5A">
        <w:t xml:space="preserve"> milyar dolar olan </w:t>
      </w:r>
      <w:r>
        <w:t>iken,</w:t>
      </w:r>
      <w:r w:rsidRPr="009C3D5A">
        <w:t xml:space="preserve"> yüz</w:t>
      </w:r>
      <w:r>
        <w:t xml:space="preserve">de 28,3 azalış ile 2018 Aralık’ta 16,6 </w:t>
      </w:r>
      <w:r w:rsidRPr="009C3D5A">
        <w:t>milyar dolar</w:t>
      </w:r>
      <w:r>
        <w:t xml:space="preserve"> olarak gerçekleşti.</w:t>
      </w:r>
      <w:r w:rsidRPr="009C3D5A">
        <w:t xml:space="preserve"> </w:t>
      </w:r>
    </w:p>
    <w:p w:rsidR="000A1DB0" w:rsidRDefault="000A1DB0" w:rsidP="000A1DB0">
      <w:pPr>
        <w:jc w:val="both"/>
      </w:pPr>
    </w:p>
    <w:p w:rsidR="000A1DB0" w:rsidRPr="002C7332" w:rsidRDefault="000A1DB0" w:rsidP="000A1DB0">
      <w:pPr>
        <w:jc w:val="both"/>
      </w:pPr>
    </w:p>
    <w:p w:rsidR="000A1DB0" w:rsidRDefault="000A1DB0" w:rsidP="000A1DB0">
      <w:pPr>
        <w:spacing w:after="0" w:line="240" w:lineRule="auto"/>
        <w:rPr>
          <w:rFonts w:eastAsia="Times New Roman" w:cs="Times New Roman"/>
          <w:b/>
          <w:bCs/>
          <w:kern w:val="36"/>
          <w:sz w:val="24"/>
          <w:szCs w:val="24"/>
        </w:rPr>
      </w:pPr>
      <w:r>
        <w:rPr>
          <w:rFonts w:eastAsia="Times New Roman" w:cs="Times New Roman"/>
          <w:b/>
          <w:bCs/>
          <w:kern w:val="36"/>
          <w:sz w:val="24"/>
          <w:szCs w:val="24"/>
        </w:rPr>
        <w:t>Şekil 3</w:t>
      </w:r>
      <w:r w:rsidRPr="009C3D5A">
        <w:rPr>
          <w:rFonts w:eastAsia="Times New Roman" w:cs="Times New Roman"/>
          <w:b/>
          <w:bCs/>
          <w:kern w:val="36"/>
          <w:sz w:val="24"/>
          <w:szCs w:val="24"/>
        </w:rPr>
        <w:t>:</w:t>
      </w:r>
      <w:r>
        <w:rPr>
          <w:rFonts w:eastAsia="Times New Roman" w:cs="Times New Roman"/>
          <w:b/>
          <w:bCs/>
          <w:kern w:val="36"/>
          <w:sz w:val="24"/>
          <w:szCs w:val="24"/>
        </w:rPr>
        <w:t xml:space="preserve"> </w:t>
      </w:r>
      <w:r w:rsidRPr="009C3D5A">
        <w:rPr>
          <w:rFonts w:eastAsia="Times New Roman" w:cs="Times New Roman"/>
          <w:b/>
          <w:bCs/>
          <w:kern w:val="36"/>
          <w:sz w:val="24"/>
          <w:szCs w:val="24"/>
        </w:rPr>
        <w:t>Ülkelere göre</w:t>
      </w:r>
      <w:r>
        <w:rPr>
          <w:rFonts w:eastAsia="Times New Roman" w:cs="Times New Roman"/>
          <w:b/>
          <w:bCs/>
          <w:kern w:val="36"/>
          <w:sz w:val="24"/>
          <w:szCs w:val="24"/>
        </w:rPr>
        <w:t xml:space="preserve"> dış ticaret, $  (2018 Aralık</w:t>
      </w:r>
      <w:r w:rsidRPr="009C3D5A">
        <w:rPr>
          <w:rFonts w:eastAsia="Times New Roman" w:cs="Times New Roman"/>
          <w:b/>
          <w:bCs/>
          <w:kern w:val="36"/>
          <w:sz w:val="24"/>
          <w:szCs w:val="24"/>
        </w:rPr>
        <w:t>)</w:t>
      </w:r>
    </w:p>
    <w:tbl>
      <w:tblPr>
        <w:tblW w:w="3624" w:type="dxa"/>
        <w:tblInd w:w="55" w:type="dxa"/>
        <w:tblCellMar>
          <w:left w:w="70" w:type="dxa"/>
          <w:right w:w="70" w:type="dxa"/>
        </w:tblCellMar>
        <w:tblLook w:val="04A0" w:firstRow="1" w:lastRow="0" w:firstColumn="1" w:lastColumn="0" w:noHBand="0" w:noVBand="1"/>
      </w:tblPr>
      <w:tblGrid>
        <w:gridCol w:w="562"/>
        <w:gridCol w:w="1019"/>
        <w:gridCol w:w="2043"/>
      </w:tblGrid>
      <w:tr w:rsidR="000A1DB0" w:rsidRPr="00587E0B" w:rsidTr="00744398">
        <w:trPr>
          <w:trHeight w:val="119"/>
        </w:trPr>
        <w:tc>
          <w:tcPr>
            <w:tcW w:w="562" w:type="dxa"/>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Sıra</w:t>
            </w:r>
          </w:p>
        </w:tc>
        <w:tc>
          <w:tcPr>
            <w:tcW w:w="1019" w:type="dxa"/>
            <w:tcBorders>
              <w:top w:val="single" w:sz="4" w:space="0" w:color="FFFFFF"/>
              <w:left w:val="nil"/>
              <w:bottom w:val="nil"/>
              <w:right w:val="single" w:sz="4" w:space="0" w:color="FFFFFF"/>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Ülke adı</w:t>
            </w:r>
          </w:p>
        </w:tc>
        <w:tc>
          <w:tcPr>
            <w:tcW w:w="2043" w:type="dxa"/>
            <w:tcBorders>
              <w:top w:val="single" w:sz="4" w:space="0" w:color="FFFFFF"/>
              <w:left w:val="nil"/>
              <w:bottom w:val="nil"/>
              <w:right w:val="single" w:sz="4" w:space="0" w:color="FFFFFF"/>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İhracat</w:t>
            </w:r>
          </w:p>
        </w:tc>
      </w:tr>
      <w:tr w:rsidR="000A1DB0" w:rsidRPr="00587E0B" w:rsidTr="00744398">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eastAsia="Times New Roman" w:hAnsi="Calibri" w:cs="Calibri"/>
                <w:color w:val="000000"/>
                <w:lang w:eastAsia="en-GB"/>
              </w:rPr>
            </w:pPr>
            <w:r>
              <w:rPr>
                <w:rFonts w:ascii="Calibri" w:hAnsi="Calibri" w:cs="Calibri"/>
                <w:color w:val="000000"/>
              </w:rPr>
              <w:t>Almanya</w:t>
            </w:r>
          </w:p>
        </w:tc>
        <w:tc>
          <w:tcPr>
            <w:tcW w:w="2043" w:type="dxa"/>
            <w:tcBorders>
              <w:top w:val="single" w:sz="4" w:space="0" w:color="auto"/>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1.205.202.725</w:t>
            </w:r>
          </w:p>
        </w:tc>
      </w:tr>
      <w:tr w:rsidR="000A1DB0" w:rsidRPr="00587E0B" w:rsidTr="00744398">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2</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B. Krallık</w:t>
            </w:r>
          </w:p>
        </w:tc>
        <w:tc>
          <w:tcPr>
            <w:tcW w:w="2043"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893.096.660</w:t>
            </w:r>
          </w:p>
        </w:tc>
      </w:tr>
      <w:tr w:rsidR="000A1DB0" w:rsidRPr="00587E0B" w:rsidTr="00744398">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3</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İtalya</w:t>
            </w:r>
          </w:p>
        </w:tc>
        <w:tc>
          <w:tcPr>
            <w:tcW w:w="2043"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740.539.268</w:t>
            </w:r>
          </w:p>
        </w:tc>
      </w:tr>
      <w:tr w:rsidR="000A1DB0" w:rsidRPr="00587E0B" w:rsidTr="00744398">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4</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Irak</w:t>
            </w:r>
          </w:p>
        </w:tc>
        <w:tc>
          <w:tcPr>
            <w:tcW w:w="2043"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711.685.894</w:t>
            </w:r>
          </w:p>
        </w:tc>
      </w:tr>
      <w:tr w:rsidR="000A1DB0" w:rsidRPr="00587E0B" w:rsidTr="00744398">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5</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ABD</w:t>
            </w:r>
          </w:p>
        </w:tc>
        <w:tc>
          <w:tcPr>
            <w:tcW w:w="2043"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698.053.671</w:t>
            </w:r>
          </w:p>
        </w:tc>
      </w:tr>
      <w:tr w:rsidR="000A1DB0" w:rsidRPr="00587E0B" w:rsidTr="00744398">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6</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Fransa</w:t>
            </w:r>
          </w:p>
        </w:tc>
        <w:tc>
          <w:tcPr>
            <w:tcW w:w="2043"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588.502.438</w:t>
            </w:r>
          </w:p>
        </w:tc>
      </w:tr>
      <w:tr w:rsidR="000A1DB0" w:rsidRPr="00587E0B" w:rsidTr="00744398">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7</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İspanya</w:t>
            </w:r>
          </w:p>
        </w:tc>
        <w:tc>
          <w:tcPr>
            <w:tcW w:w="2043"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547.298.390</w:t>
            </w:r>
          </w:p>
        </w:tc>
      </w:tr>
      <w:tr w:rsidR="000A1DB0" w:rsidRPr="00587E0B" w:rsidTr="00744398">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8</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Hollanda</w:t>
            </w:r>
          </w:p>
        </w:tc>
        <w:tc>
          <w:tcPr>
            <w:tcW w:w="2043"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413.809.229</w:t>
            </w:r>
          </w:p>
        </w:tc>
      </w:tr>
      <w:tr w:rsidR="000A1DB0" w:rsidRPr="00587E0B" w:rsidTr="00744398">
        <w:trPr>
          <w:trHeight w:val="119"/>
        </w:trPr>
        <w:tc>
          <w:tcPr>
            <w:tcW w:w="562"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9</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İsrail</w:t>
            </w:r>
          </w:p>
        </w:tc>
        <w:tc>
          <w:tcPr>
            <w:tcW w:w="2043"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364.782.924</w:t>
            </w:r>
          </w:p>
        </w:tc>
      </w:tr>
      <w:tr w:rsidR="000A1DB0" w:rsidRPr="00587E0B" w:rsidTr="00744398">
        <w:trPr>
          <w:trHeight w:val="276"/>
        </w:trPr>
        <w:tc>
          <w:tcPr>
            <w:tcW w:w="562"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10</w:t>
            </w:r>
          </w:p>
        </w:tc>
        <w:tc>
          <w:tcPr>
            <w:tcW w:w="1019"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Belçika</w:t>
            </w:r>
          </w:p>
        </w:tc>
        <w:tc>
          <w:tcPr>
            <w:tcW w:w="2043"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348.242.221</w:t>
            </w:r>
          </w:p>
        </w:tc>
      </w:tr>
    </w:tbl>
    <w:tbl>
      <w:tblPr>
        <w:tblpPr w:leftFromText="141" w:rightFromText="141" w:vertAnchor="text" w:horzAnchor="page" w:tblpX="5181" w:tblpY="-5468"/>
        <w:tblW w:w="3898" w:type="dxa"/>
        <w:tblCellMar>
          <w:left w:w="70" w:type="dxa"/>
          <w:right w:w="70" w:type="dxa"/>
        </w:tblCellMar>
        <w:tblLook w:val="04A0" w:firstRow="1" w:lastRow="0" w:firstColumn="1" w:lastColumn="0" w:noHBand="0" w:noVBand="1"/>
      </w:tblPr>
      <w:tblGrid>
        <w:gridCol w:w="724"/>
        <w:gridCol w:w="1047"/>
        <w:gridCol w:w="2127"/>
      </w:tblGrid>
      <w:tr w:rsidR="000A1DB0" w:rsidRPr="00587E0B" w:rsidTr="00744398">
        <w:trPr>
          <w:trHeight w:val="2"/>
        </w:trPr>
        <w:tc>
          <w:tcPr>
            <w:tcW w:w="724" w:type="dxa"/>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Sıra</w:t>
            </w:r>
          </w:p>
        </w:tc>
        <w:tc>
          <w:tcPr>
            <w:tcW w:w="1047" w:type="dxa"/>
            <w:tcBorders>
              <w:top w:val="single" w:sz="4" w:space="0" w:color="FFFFFF"/>
              <w:left w:val="nil"/>
              <w:bottom w:val="nil"/>
              <w:right w:val="single" w:sz="4" w:space="0" w:color="FFFFFF"/>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Ülke adı</w:t>
            </w:r>
          </w:p>
        </w:tc>
        <w:tc>
          <w:tcPr>
            <w:tcW w:w="2127" w:type="dxa"/>
            <w:tcBorders>
              <w:top w:val="single" w:sz="4" w:space="0" w:color="FFFFFF"/>
              <w:left w:val="nil"/>
              <w:bottom w:val="nil"/>
              <w:right w:val="single" w:sz="4" w:space="0" w:color="FFFFFF"/>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İthalat</w:t>
            </w:r>
          </w:p>
        </w:tc>
      </w:tr>
      <w:tr w:rsidR="000A1DB0" w:rsidRPr="00587E0B" w:rsidTr="00744398">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1</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eastAsia="Times New Roman" w:hAnsi="Calibri" w:cs="Calibri"/>
                <w:color w:val="000000"/>
                <w:lang w:eastAsia="en-GB"/>
              </w:rPr>
            </w:pPr>
            <w:r>
              <w:rPr>
                <w:rFonts w:ascii="Calibri" w:hAnsi="Calibri" w:cs="Calibri"/>
                <w:color w:val="000000"/>
              </w:rPr>
              <w:t>Rusya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1.785.926.232</w:t>
            </w:r>
          </w:p>
        </w:tc>
      </w:tr>
      <w:tr w:rsidR="000A1DB0" w:rsidRPr="00587E0B" w:rsidTr="00744398">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2</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Almanya</w:t>
            </w:r>
          </w:p>
        </w:tc>
        <w:tc>
          <w:tcPr>
            <w:tcW w:w="2127"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1.720.063.963</w:t>
            </w:r>
          </w:p>
        </w:tc>
      </w:tr>
      <w:tr w:rsidR="000A1DB0" w:rsidRPr="00587E0B" w:rsidTr="00744398">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3</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Gizli Ülke</w:t>
            </w:r>
          </w:p>
        </w:tc>
        <w:tc>
          <w:tcPr>
            <w:tcW w:w="2127"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1.485.016.143</w:t>
            </w:r>
          </w:p>
        </w:tc>
      </w:tr>
      <w:tr w:rsidR="000A1DB0" w:rsidRPr="00587E0B" w:rsidTr="00744398">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4</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Çin</w:t>
            </w:r>
          </w:p>
        </w:tc>
        <w:tc>
          <w:tcPr>
            <w:tcW w:w="2127"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1.292.114.176</w:t>
            </w:r>
          </w:p>
        </w:tc>
      </w:tr>
      <w:tr w:rsidR="000A1DB0" w:rsidRPr="00587E0B" w:rsidTr="00744398">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5</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ABD</w:t>
            </w:r>
          </w:p>
        </w:tc>
        <w:tc>
          <w:tcPr>
            <w:tcW w:w="2127"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996.571.739</w:t>
            </w:r>
          </w:p>
        </w:tc>
      </w:tr>
      <w:tr w:rsidR="000A1DB0" w:rsidRPr="00587E0B" w:rsidTr="00744398">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6</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İtalya</w:t>
            </w:r>
          </w:p>
        </w:tc>
        <w:tc>
          <w:tcPr>
            <w:tcW w:w="2127"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782.799.400</w:t>
            </w:r>
          </w:p>
        </w:tc>
      </w:tr>
      <w:tr w:rsidR="000A1DB0" w:rsidRPr="00587E0B" w:rsidTr="00744398">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7</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Hindistan</w:t>
            </w:r>
          </w:p>
        </w:tc>
        <w:tc>
          <w:tcPr>
            <w:tcW w:w="2127"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535.695.682</w:t>
            </w:r>
          </w:p>
        </w:tc>
      </w:tr>
      <w:tr w:rsidR="000A1DB0" w:rsidRPr="00587E0B" w:rsidTr="00744398">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8</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Fransa</w:t>
            </w:r>
          </w:p>
        </w:tc>
        <w:tc>
          <w:tcPr>
            <w:tcW w:w="2127"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469.076.548</w:t>
            </w:r>
          </w:p>
        </w:tc>
      </w:tr>
      <w:tr w:rsidR="000A1DB0" w:rsidRPr="00587E0B" w:rsidTr="00744398">
        <w:trPr>
          <w:trHeight w:val="2"/>
        </w:trPr>
        <w:tc>
          <w:tcPr>
            <w:tcW w:w="724"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9</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B. Krallık</w:t>
            </w:r>
          </w:p>
        </w:tc>
        <w:tc>
          <w:tcPr>
            <w:tcW w:w="2127"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395.929.059</w:t>
            </w:r>
          </w:p>
        </w:tc>
      </w:tr>
      <w:tr w:rsidR="000A1DB0" w:rsidRPr="00587E0B" w:rsidTr="00744398">
        <w:trPr>
          <w:trHeight w:val="7"/>
        </w:trPr>
        <w:tc>
          <w:tcPr>
            <w:tcW w:w="724" w:type="dxa"/>
            <w:tcBorders>
              <w:top w:val="nil"/>
              <w:left w:val="single" w:sz="4" w:space="0" w:color="FFFFFF"/>
              <w:bottom w:val="single" w:sz="4" w:space="0" w:color="FFFFFF"/>
              <w:right w:val="nil"/>
            </w:tcBorders>
            <w:shd w:val="clear" w:color="000000" w:fill="002060"/>
            <w:noWrap/>
            <w:vAlign w:val="center"/>
            <w:hideMark/>
          </w:tcPr>
          <w:p w:rsidR="000A1DB0" w:rsidRPr="00587E0B" w:rsidRDefault="000A1DB0" w:rsidP="00744398">
            <w:pPr>
              <w:spacing w:after="0" w:line="240" w:lineRule="auto"/>
              <w:jc w:val="center"/>
              <w:rPr>
                <w:rFonts w:ascii="Calibri" w:eastAsia="Times New Roman" w:hAnsi="Calibri" w:cs="Calibri"/>
                <w:b/>
                <w:bCs/>
                <w:color w:val="FFFFFF"/>
              </w:rPr>
            </w:pPr>
            <w:r w:rsidRPr="00587E0B">
              <w:rPr>
                <w:rFonts w:ascii="Calibri" w:eastAsia="Times New Roman" w:hAnsi="Calibri" w:cs="Calibri"/>
                <w:b/>
                <w:bCs/>
                <w:color w:val="FFFFFF"/>
              </w:rPr>
              <w:t>10</w:t>
            </w:r>
          </w:p>
        </w:tc>
        <w:tc>
          <w:tcPr>
            <w:tcW w:w="1047" w:type="dxa"/>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G. Kore</w:t>
            </w:r>
          </w:p>
        </w:tc>
        <w:tc>
          <w:tcPr>
            <w:tcW w:w="2127" w:type="dxa"/>
            <w:tcBorders>
              <w:top w:val="nil"/>
              <w:left w:val="nil"/>
              <w:bottom w:val="single" w:sz="4" w:space="0" w:color="auto"/>
              <w:right w:val="single" w:sz="4" w:space="0" w:color="auto"/>
            </w:tcBorders>
            <w:shd w:val="clear" w:color="auto" w:fill="auto"/>
            <w:noWrap/>
            <w:vAlign w:val="bottom"/>
            <w:hideMark/>
          </w:tcPr>
          <w:p w:rsidR="000A1DB0" w:rsidRDefault="000A1DB0" w:rsidP="00744398">
            <w:pPr>
              <w:jc w:val="center"/>
              <w:rPr>
                <w:rFonts w:ascii="Calibri" w:hAnsi="Calibri" w:cs="Calibri"/>
                <w:color w:val="000000"/>
              </w:rPr>
            </w:pPr>
            <w:r>
              <w:rPr>
                <w:rFonts w:ascii="Calibri" w:hAnsi="Calibri" w:cs="Calibri"/>
                <w:color w:val="000000"/>
              </w:rPr>
              <w:t>381.089.573</w:t>
            </w:r>
          </w:p>
        </w:tc>
      </w:tr>
    </w:tbl>
    <w:p w:rsidR="000A1DB0" w:rsidRPr="00207D30" w:rsidRDefault="000A1DB0" w:rsidP="000A1DB0">
      <w:pPr>
        <w:spacing w:after="0" w:line="240" w:lineRule="auto"/>
        <w:rPr>
          <w:rFonts w:eastAsia="Times New Roman" w:cs="Times New Roman"/>
          <w:b/>
          <w:bCs/>
          <w:kern w:val="36"/>
          <w:sz w:val="16"/>
          <w:szCs w:val="24"/>
        </w:rPr>
      </w:pPr>
      <w:r w:rsidRPr="00207D30">
        <w:rPr>
          <w:rFonts w:eastAsia="Times New Roman" w:cs="Times New Roman"/>
          <w:b/>
          <w:bCs/>
          <w:kern w:val="36"/>
          <w:sz w:val="16"/>
          <w:szCs w:val="24"/>
        </w:rPr>
        <w:t>Kaynak: TÜİK</w:t>
      </w:r>
    </w:p>
    <w:p w:rsidR="000A1DB0" w:rsidRPr="009C3D5A" w:rsidRDefault="000A1DB0" w:rsidP="000A1DB0">
      <w:pPr>
        <w:spacing w:after="0" w:line="240" w:lineRule="auto"/>
        <w:rPr>
          <w:rFonts w:eastAsia="Times New Roman" w:cs="Times New Roman"/>
          <w:bCs/>
          <w:kern w:val="36"/>
          <w:sz w:val="18"/>
          <w:szCs w:val="24"/>
        </w:rPr>
      </w:pPr>
    </w:p>
    <w:p w:rsidR="000A1DB0" w:rsidRPr="00AB4023" w:rsidRDefault="000A1DB0" w:rsidP="000A1DB0">
      <w:pPr>
        <w:jc w:val="both"/>
      </w:pPr>
      <w:r>
        <w:t xml:space="preserve">Türkiye, </w:t>
      </w:r>
      <w:r w:rsidRPr="009C3D5A">
        <w:t>201</w:t>
      </w:r>
      <w:r>
        <w:t>8</w:t>
      </w:r>
      <w:r w:rsidRPr="009C3D5A">
        <w:t xml:space="preserve"> </w:t>
      </w:r>
      <w:r>
        <w:t>Aralık ayında</w:t>
      </w:r>
      <w:r w:rsidRPr="009C3D5A">
        <w:t xml:space="preserve"> en fazla ihracatı</w:t>
      </w:r>
      <w:r>
        <w:t xml:space="preserve"> Almanya’ya yapmıştır. 1,21</w:t>
      </w:r>
      <w:r w:rsidRPr="009C3D5A">
        <w:t xml:space="preserve"> milyar dolarlık ihracat ile Almanya birinci sırada yer alırken Almanya’yı sırası ile </w:t>
      </w:r>
      <w:r>
        <w:t xml:space="preserve">893 milyon </w:t>
      </w:r>
      <w:r w:rsidRPr="009C3D5A">
        <w:t>dolar ile</w:t>
      </w:r>
      <w:r>
        <w:t xml:space="preserve"> B. Krallık</w:t>
      </w:r>
      <w:r w:rsidRPr="009C3D5A">
        <w:t xml:space="preserve">, </w:t>
      </w:r>
      <w:r>
        <w:t>740,5</w:t>
      </w:r>
      <w:r w:rsidRPr="009C3D5A">
        <w:t xml:space="preserve"> </w:t>
      </w:r>
      <w:r>
        <w:t>milyon</w:t>
      </w:r>
      <w:r w:rsidRPr="009C3D5A">
        <w:t xml:space="preserve"> dolar ile </w:t>
      </w:r>
      <w:r>
        <w:t>İtalya</w:t>
      </w:r>
      <w:r w:rsidRPr="009C3D5A">
        <w:t xml:space="preserve"> ve </w:t>
      </w:r>
      <w:r>
        <w:t>711,7 milyon</w:t>
      </w:r>
      <w:r w:rsidRPr="009C3D5A">
        <w:t xml:space="preserve"> dolar ile</w:t>
      </w:r>
      <w:r>
        <w:t xml:space="preserve"> Irak </w:t>
      </w:r>
      <w:r w:rsidRPr="009C3D5A">
        <w:t>takip etmektedir. İth</w:t>
      </w:r>
      <w:r>
        <w:t>alatta ise Rusya, lider konumdadır. Türkiye’nin 2018</w:t>
      </w:r>
      <w:r w:rsidRPr="009C3D5A">
        <w:t xml:space="preserve"> </w:t>
      </w:r>
      <w:r>
        <w:t xml:space="preserve">Aralık ayında Rusya’dan </w:t>
      </w:r>
      <w:r w:rsidRPr="009C3D5A">
        <w:t xml:space="preserve">yaptığı ithalat </w:t>
      </w:r>
      <w:r>
        <w:t>1,79</w:t>
      </w:r>
      <w:r w:rsidRPr="009C3D5A">
        <w:t xml:space="preserve"> milyar dolar olup </w:t>
      </w:r>
      <w:r>
        <w:t>Rusya’yı</w:t>
      </w:r>
      <w:r w:rsidRPr="009C3D5A">
        <w:t xml:space="preserve"> sırası ile </w:t>
      </w:r>
      <w:r>
        <w:t>1</w:t>
      </w:r>
      <w:r w:rsidRPr="009C3D5A">
        <w:t>,</w:t>
      </w:r>
      <w:r>
        <w:t xml:space="preserve">72 </w:t>
      </w:r>
      <w:r w:rsidRPr="009C3D5A">
        <w:t xml:space="preserve">milyar dolar ile </w:t>
      </w:r>
      <w:r>
        <w:t>Almanya</w:t>
      </w:r>
      <w:r w:rsidRPr="009C3D5A">
        <w:t xml:space="preserve">, </w:t>
      </w:r>
      <w:r>
        <w:t>1,49</w:t>
      </w:r>
      <w:r w:rsidRPr="009C3D5A">
        <w:t xml:space="preserve"> milyar dolar ile </w:t>
      </w:r>
      <w:r>
        <w:t>gizli ülke verileri ve 1,29 milyar</w:t>
      </w:r>
      <w:r w:rsidRPr="009C3D5A">
        <w:t xml:space="preserve"> dolar ile </w:t>
      </w:r>
      <w:r>
        <w:t xml:space="preserve">Çin </w:t>
      </w:r>
      <w:r w:rsidRPr="009C3D5A">
        <w:t xml:space="preserve">takip etmektedir. </w:t>
      </w:r>
    </w:p>
    <w:p w:rsidR="000A1DB0" w:rsidRDefault="000A1DB0" w:rsidP="000A1DB0">
      <w:pPr>
        <w:spacing w:after="0" w:line="240" w:lineRule="auto"/>
      </w:pPr>
      <w:r>
        <w:rPr>
          <w:rFonts w:eastAsia="Times New Roman" w:cs="Times New Roman"/>
          <w:b/>
          <w:bCs/>
          <w:kern w:val="36"/>
          <w:sz w:val="24"/>
          <w:szCs w:val="24"/>
        </w:rPr>
        <w:t>Şekil 4</w:t>
      </w:r>
      <w:r w:rsidRPr="009C3D5A">
        <w:rPr>
          <w:rFonts w:eastAsia="Times New Roman" w:cs="Times New Roman"/>
          <w:b/>
          <w:bCs/>
          <w:kern w:val="36"/>
          <w:sz w:val="24"/>
          <w:szCs w:val="24"/>
        </w:rPr>
        <w:t>:</w:t>
      </w:r>
      <w:r w:rsidRPr="00284EE7">
        <w:t xml:space="preserve"> </w:t>
      </w:r>
      <w:r>
        <w:rPr>
          <w:rFonts w:eastAsia="Times New Roman" w:cs="Times New Roman"/>
          <w:b/>
          <w:bCs/>
          <w:kern w:val="36"/>
          <w:sz w:val="24"/>
          <w:szCs w:val="24"/>
        </w:rPr>
        <w:t>SITC Rev3 sınıflamasına göre dış ticaret, $  (2018</w:t>
      </w:r>
      <w:r w:rsidRPr="009C3D5A">
        <w:rPr>
          <w:rFonts w:eastAsia="Times New Roman" w:cs="Times New Roman"/>
          <w:b/>
          <w:bCs/>
          <w:kern w:val="36"/>
          <w:sz w:val="24"/>
          <w:szCs w:val="24"/>
        </w:rPr>
        <w:t xml:space="preserve"> </w:t>
      </w:r>
      <w:r>
        <w:rPr>
          <w:rFonts w:eastAsia="Times New Roman" w:cs="Times New Roman"/>
          <w:b/>
          <w:bCs/>
          <w:kern w:val="36"/>
          <w:sz w:val="24"/>
          <w:szCs w:val="24"/>
        </w:rPr>
        <w:t>Aralık)</w:t>
      </w:r>
      <w:r>
        <w:t xml:space="preserve"> </w:t>
      </w:r>
    </w:p>
    <w:tbl>
      <w:tblPr>
        <w:tblW w:w="9779" w:type="dxa"/>
        <w:tblInd w:w="55" w:type="dxa"/>
        <w:tblCellMar>
          <w:left w:w="70" w:type="dxa"/>
          <w:right w:w="70" w:type="dxa"/>
        </w:tblCellMar>
        <w:tblLook w:val="04A0" w:firstRow="1" w:lastRow="0" w:firstColumn="1" w:lastColumn="0" w:noHBand="0" w:noVBand="1"/>
      </w:tblPr>
      <w:tblGrid>
        <w:gridCol w:w="506"/>
        <w:gridCol w:w="551"/>
        <w:gridCol w:w="7051"/>
        <w:gridCol w:w="1671"/>
      </w:tblGrid>
      <w:tr w:rsidR="000A1DB0" w:rsidRPr="00E57C88" w:rsidTr="00744398">
        <w:trPr>
          <w:trHeight w:val="160"/>
        </w:trPr>
        <w:tc>
          <w:tcPr>
            <w:tcW w:w="0" w:type="auto"/>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Sıra</w:t>
            </w:r>
          </w:p>
        </w:tc>
        <w:tc>
          <w:tcPr>
            <w:tcW w:w="0" w:type="auto"/>
            <w:tcBorders>
              <w:top w:val="single" w:sz="4" w:space="0" w:color="FFFFFF"/>
              <w:left w:val="nil"/>
              <w:bottom w:val="nil"/>
              <w:right w:val="single" w:sz="4" w:space="0" w:color="FFFFFF"/>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SITC</w:t>
            </w:r>
          </w:p>
        </w:tc>
        <w:tc>
          <w:tcPr>
            <w:tcW w:w="0" w:type="auto"/>
            <w:tcBorders>
              <w:top w:val="single" w:sz="4" w:space="0" w:color="FFFFFF"/>
              <w:left w:val="nil"/>
              <w:bottom w:val="nil"/>
              <w:right w:val="single" w:sz="4" w:space="0" w:color="FFFFFF"/>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SITC adı</w:t>
            </w:r>
          </w:p>
        </w:tc>
        <w:tc>
          <w:tcPr>
            <w:tcW w:w="0" w:type="auto"/>
            <w:tcBorders>
              <w:top w:val="single" w:sz="4" w:space="0" w:color="FFFFFF"/>
              <w:left w:val="nil"/>
              <w:bottom w:val="nil"/>
              <w:right w:val="single" w:sz="4" w:space="0" w:color="FFFFFF"/>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Pr>
                <w:rFonts w:ascii="Calibri" w:eastAsia="Times New Roman" w:hAnsi="Calibri" w:cs="Calibri"/>
                <w:b/>
                <w:bCs/>
                <w:color w:val="FFFFFF"/>
              </w:rPr>
              <w:t>İ</w:t>
            </w:r>
            <w:r w:rsidRPr="00E57C88">
              <w:rPr>
                <w:rFonts w:ascii="Calibri" w:eastAsia="Times New Roman" w:hAnsi="Calibri" w:cs="Calibri"/>
                <w:b/>
                <w:bCs/>
                <w:color w:val="FFFFFF"/>
              </w:rPr>
              <w:t>h</w:t>
            </w:r>
            <w:r>
              <w:rPr>
                <w:rFonts w:ascii="Calibri" w:eastAsia="Times New Roman" w:hAnsi="Calibri" w:cs="Calibri"/>
                <w:b/>
                <w:bCs/>
                <w:color w:val="FFFFFF"/>
              </w:rPr>
              <w:t>racat</w:t>
            </w:r>
            <w:r w:rsidRPr="00E57C88">
              <w:rPr>
                <w:rFonts w:ascii="Calibri" w:eastAsia="Times New Roman" w:hAnsi="Calibri" w:cs="Calibri"/>
                <w:b/>
                <w:bCs/>
                <w:color w:val="FFFFFF"/>
              </w:rPr>
              <w:t xml:space="preserve"> Dolar</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eastAsia="Times New Roman" w:hAnsi="Calibri" w:cs="Calibri"/>
                <w:color w:val="000000"/>
                <w:lang w:eastAsia="en-GB"/>
              </w:rPr>
            </w:pPr>
            <w:r>
              <w:rPr>
                <w:rFonts w:ascii="Calibri" w:hAnsi="Calibri" w:cs="Calibri"/>
                <w:color w:val="000000"/>
              </w:rPr>
              <w:t>78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Motorlu kara taşıtları, bisiklet ver motosikletler, bunların aksam ve parçası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2.058.776.341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67</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Demir ve çelik</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1.263.516.970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84</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Giyim eşyası ve bunların aksesuarları</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1.152.992.612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65</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proofErr w:type="spellStart"/>
            <w:r>
              <w:rPr>
                <w:rFonts w:ascii="Calibri" w:hAnsi="Calibri" w:cs="Calibri"/>
                <w:color w:val="000000"/>
              </w:rPr>
              <w:t>Teksitil</w:t>
            </w:r>
            <w:proofErr w:type="spellEnd"/>
            <w:r>
              <w:rPr>
                <w:rFonts w:ascii="Calibri" w:hAnsi="Calibri" w:cs="Calibri"/>
                <w:color w:val="000000"/>
              </w:rPr>
              <w:t xml:space="preserve"> ürünleri (iplik, kumaş, yer kaplamaları, hazır eşya)</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919.811.439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77</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Elektrik </w:t>
            </w:r>
            <w:proofErr w:type="spellStart"/>
            <w:proofErr w:type="gramStart"/>
            <w:r>
              <w:rPr>
                <w:rFonts w:ascii="Calibri" w:hAnsi="Calibri" w:cs="Calibri"/>
                <w:color w:val="000000"/>
              </w:rPr>
              <w:t>makinaları,cihazları</w:t>
            </w:r>
            <w:proofErr w:type="spellEnd"/>
            <w:proofErr w:type="gramEnd"/>
            <w:r>
              <w:rPr>
                <w:rFonts w:ascii="Calibri" w:hAnsi="Calibri" w:cs="Calibri"/>
                <w:color w:val="000000"/>
              </w:rPr>
              <w:t xml:space="preserve"> ve aletleri, </w:t>
            </w:r>
            <w:proofErr w:type="spellStart"/>
            <w:r>
              <w:rPr>
                <w:rFonts w:ascii="Calibri" w:hAnsi="Calibri" w:cs="Calibri"/>
                <w:color w:val="000000"/>
              </w:rPr>
              <w:t>vb.aksam,parçaları</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813.491.248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5</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Meyve ve sebzeler</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712.102.293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89</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Başka yerde belirtilmeyen çeşitli </w:t>
            </w:r>
            <w:proofErr w:type="spellStart"/>
            <w:r>
              <w:rPr>
                <w:rFonts w:ascii="Calibri" w:hAnsi="Calibri" w:cs="Calibri"/>
                <w:color w:val="000000"/>
              </w:rPr>
              <w:t>mamül</w:t>
            </w:r>
            <w:proofErr w:type="spellEnd"/>
            <w:r>
              <w:rPr>
                <w:rFonts w:ascii="Calibri" w:hAnsi="Calibri" w:cs="Calibri"/>
                <w:color w:val="000000"/>
              </w:rPr>
              <w:t xml:space="preserve"> eşyalar</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664.950.917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lastRenderedPageBreak/>
              <w:t>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69</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Demir, çelik, bakır, nikel, </w:t>
            </w:r>
            <w:proofErr w:type="spellStart"/>
            <w:r>
              <w:rPr>
                <w:rFonts w:ascii="Calibri" w:hAnsi="Calibri" w:cs="Calibri"/>
                <w:color w:val="000000"/>
              </w:rPr>
              <w:t>aluminyum</w:t>
            </w:r>
            <w:proofErr w:type="spellEnd"/>
            <w:r>
              <w:rPr>
                <w:rFonts w:ascii="Calibri" w:hAnsi="Calibri" w:cs="Calibri"/>
                <w:color w:val="000000"/>
              </w:rPr>
              <w:t xml:space="preserve"> ve diğer adi metallerden eşya</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539.184.294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74</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Diğer genel endüstri makina/cihazların aksamları</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426.817.470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33</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Petrol, petrolden elde edilen ürünler</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403.714.971 </w:t>
            </w:r>
          </w:p>
        </w:tc>
      </w:tr>
    </w:tbl>
    <w:p w:rsidR="000A1DB0" w:rsidRDefault="000A1DB0" w:rsidP="000A1DB0">
      <w:pPr>
        <w:spacing w:after="0" w:line="240" w:lineRule="auto"/>
      </w:pPr>
    </w:p>
    <w:p w:rsidR="000A1DB0" w:rsidRDefault="000A1DB0" w:rsidP="000A1DB0">
      <w:pPr>
        <w:spacing w:after="0" w:line="240" w:lineRule="auto"/>
        <w:rPr>
          <w:rFonts w:eastAsia="Times New Roman" w:cs="Times New Roman"/>
          <w:bCs/>
          <w:kern w:val="36"/>
          <w:sz w:val="18"/>
          <w:szCs w:val="24"/>
        </w:rPr>
      </w:pPr>
    </w:p>
    <w:tbl>
      <w:tblPr>
        <w:tblW w:w="9779" w:type="dxa"/>
        <w:tblInd w:w="55" w:type="dxa"/>
        <w:tblCellMar>
          <w:left w:w="70" w:type="dxa"/>
          <w:right w:w="70" w:type="dxa"/>
        </w:tblCellMar>
        <w:tblLook w:val="04A0" w:firstRow="1" w:lastRow="0" w:firstColumn="1" w:lastColumn="0" w:noHBand="0" w:noVBand="1"/>
      </w:tblPr>
      <w:tblGrid>
        <w:gridCol w:w="506"/>
        <w:gridCol w:w="551"/>
        <w:gridCol w:w="7051"/>
        <w:gridCol w:w="1671"/>
      </w:tblGrid>
      <w:tr w:rsidR="000A1DB0" w:rsidRPr="00E57C88" w:rsidTr="00744398">
        <w:trPr>
          <w:trHeight w:val="160"/>
        </w:trPr>
        <w:tc>
          <w:tcPr>
            <w:tcW w:w="0" w:type="auto"/>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Sıra</w:t>
            </w:r>
          </w:p>
        </w:tc>
        <w:tc>
          <w:tcPr>
            <w:tcW w:w="0" w:type="auto"/>
            <w:tcBorders>
              <w:top w:val="single" w:sz="4" w:space="0" w:color="FFFFFF"/>
              <w:left w:val="nil"/>
              <w:bottom w:val="nil"/>
              <w:right w:val="single" w:sz="4" w:space="0" w:color="FFFFFF"/>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SITC</w:t>
            </w:r>
          </w:p>
        </w:tc>
        <w:tc>
          <w:tcPr>
            <w:tcW w:w="0" w:type="auto"/>
            <w:tcBorders>
              <w:top w:val="single" w:sz="4" w:space="0" w:color="FFFFFF"/>
              <w:left w:val="nil"/>
              <w:bottom w:val="nil"/>
              <w:right w:val="single" w:sz="4" w:space="0" w:color="FFFFFF"/>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SITC adı</w:t>
            </w:r>
          </w:p>
        </w:tc>
        <w:tc>
          <w:tcPr>
            <w:tcW w:w="0" w:type="auto"/>
            <w:tcBorders>
              <w:top w:val="single" w:sz="4" w:space="0" w:color="FFFFFF"/>
              <w:left w:val="nil"/>
              <w:bottom w:val="nil"/>
              <w:right w:val="single" w:sz="4" w:space="0" w:color="FFFFFF"/>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İthalat Dolar</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eastAsia="Times New Roman" w:hAnsi="Calibri" w:cs="Calibri"/>
                <w:color w:val="000000"/>
                <w:lang w:eastAsia="en-GB"/>
              </w:rPr>
            </w:pPr>
            <w:r>
              <w:rPr>
                <w:rFonts w:ascii="Calibri" w:hAnsi="Calibri" w:cs="Calibri"/>
                <w:color w:val="000000"/>
              </w:rPr>
              <w:t>39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Gizli veri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2.570.852.286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78</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Motorlu kara taşıtları, bisiklet ver motosikletler, bunların aksam ve parçası</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1.132.929.709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33</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Petrol, petrolden elde edilen ürünler</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810.418.102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74</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Diğer genel endüstri makina/cihazların aksamları</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677.912.509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28</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Metal cevherleri, döküntüleri, hurdaları</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674.156.734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77</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Elektrik </w:t>
            </w:r>
            <w:proofErr w:type="spellStart"/>
            <w:proofErr w:type="gramStart"/>
            <w:r>
              <w:rPr>
                <w:rFonts w:ascii="Calibri" w:hAnsi="Calibri" w:cs="Calibri"/>
                <w:color w:val="000000"/>
              </w:rPr>
              <w:t>makinaları,cihazları</w:t>
            </w:r>
            <w:proofErr w:type="spellEnd"/>
            <w:proofErr w:type="gramEnd"/>
            <w:r>
              <w:rPr>
                <w:rFonts w:ascii="Calibri" w:hAnsi="Calibri" w:cs="Calibri"/>
                <w:color w:val="000000"/>
              </w:rPr>
              <w:t xml:space="preserve"> ve aletleri, </w:t>
            </w:r>
            <w:proofErr w:type="spellStart"/>
            <w:r>
              <w:rPr>
                <w:rFonts w:ascii="Calibri" w:hAnsi="Calibri" w:cs="Calibri"/>
                <w:color w:val="000000"/>
              </w:rPr>
              <w:t>vb.aksam,parçaları</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663.630.267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71</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Güç üreten makineler ve araçlar</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656.012.419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67</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Demir ve çelik</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648.010.769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57</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İlk şekillerde plastikler</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627.471.229 </w:t>
            </w:r>
          </w:p>
        </w:tc>
      </w:tr>
      <w:tr w:rsidR="000A1DB0" w:rsidRPr="00E57C88" w:rsidTr="00744398">
        <w:trPr>
          <w:trHeight w:val="160"/>
        </w:trPr>
        <w:tc>
          <w:tcPr>
            <w:tcW w:w="0" w:type="auto"/>
            <w:tcBorders>
              <w:top w:val="nil"/>
              <w:left w:val="single" w:sz="4" w:space="0" w:color="FFFFFF"/>
              <w:bottom w:val="single" w:sz="4" w:space="0" w:color="FFFFFF"/>
              <w:right w:val="nil"/>
            </w:tcBorders>
            <w:shd w:val="clear" w:color="000000" w:fill="002060"/>
            <w:noWrap/>
            <w:vAlign w:val="center"/>
            <w:hideMark/>
          </w:tcPr>
          <w:p w:rsidR="000A1DB0" w:rsidRPr="00E57C88" w:rsidRDefault="000A1DB0" w:rsidP="00744398">
            <w:pPr>
              <w:spacing w:after="0" w:line="240" w:lineRule="auto"/>
              <w:rPr>
                <w:rFonts w:ascii="Calibri" w:eastAsia="Times New Roman" w:hAnsi="Calibri" w:cs="Calibri"/>
                <w:b/>
                <w:bCs/>
                <w:color w:val="FFFFFF"/>
              </w:rPr>
            </w:pPr>
            <w:r w:rsidRPr="00E57C88">
              <w:rPr>
                <w:rFonts w:ascii="Calibri" w:eastAsia="Times New Roman" w:hAnsi="Calibri" w:cs="Calibri"/>
                <w:b/>
                <w:bCs/>
                <w:color w:val="FFFFFF"/>
              </w:rPr>
              <w:t>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97</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proofErr w:type="spellStart"/>
            <w:proofErr w:type="gramStart"/>
            <w:r>
              <w:rPr>
                <w:rFonts w:ascii="Calibri" w:hAnsi="Calibri" w:cs="Calibri"/>
                <w:color w:val="000000"/>
              </w:rPr>
              <w:t>Altın,parasal</w:t>
            </w:r>
            <w:proofErr w:type="spellEnd"/>
            <w:proofErr w:type="gramEnd"/>
            <w:r>
              <w:rPr>
                <w:rFonts w:ascii="Calibri" w:hAnsi="Calibri" w:cs="Calibri"/>
                <w:color w:val="000000"/>
              </w:rPr>
              <w:t xml:space="preserve"> olmayan (altın madeni ve konsantreleri hariç)</w:t>
            </w:r>
          </w:p>
        </w:tc>
        <w:tc>
          <w:tcPr>
            <w:tcW w:w="0" w:type="auto"/>
            <w:tcBorders>
              <w:top w:val="nil"/>
              <w:left w:val="nil"/>
              <w:bottom w:val="single" w:sz="4" w:space="0" w:color="auto"/>
              <w:right w:val="single" w:sz="4" w:space="0" w:color="auto"/>
            </w:tcBorders>
            <w:shd w:val="clear" w:color="auto" w:fill="auto"/>
            <w:noWrap/>
            <w:vAlign w:val="bottom"/>
            <w:hideMark/>
          </w:tcPr>
          <w:p w:rsidR="000A1DB0" w:rsidRDefault="000A1DB0" w:rsidP="00744398">
            <w:pPr>
              <w:rPr>
                <w:rFonts w:ascii="Calibri" w:hAnsi="Calibri" w:cs="Calibri"/>
                <w:color w:val="000000"/>
              </w:rPr>
            </w:pPr>
            <w:r>
              <w:rPr>
                <w:rFonts w:ascii="Calibri" w:hAnsi="Calibri" w:cs="Calibri"/>
                <w:color w:val="000000"/>
              </w:rPr>
              <w:t xml:space="preserve">       542.947.709 </w:t>
            </w:r>
          </w:p>
        </w:tc>
      </w:tr>
    </w:tbl>
    <w:p w:rsidR="000A1DB0" w:rsidRPr="00207D30" w:rsidRDefault="000A1DB0" w:rsidP="000A1DB0">
      <w:pPr>
        <w:spacing w:after="0" w:line="240" w:lineRule="auto"/>
        <w:rPr>
          <w:rFonts w:eastAsia="Times New Roman" w:cs="Times New Roman"/>
          <w:b/>
          <w:bCs/>
          <w:kern w:val="36"/>
          <w:sz w:val="16"/>
          <w:szCs w:val="24"/>
        </w:rPr>
      </w:pPr>
      <w:r w:rsidRPr="00207D30">
        <w:rPr>
          <w:rFonts w:eastAsia="Times New Roman" w:cs="Times New Roman"/>
          <w:b/>
          <w:bCs/>
          <w:kern w:val="36"/>
          <w:sz w:val="16"/>
          <w:szCs w:val="24"/>
        </w:rPr>
        <w:t>Kaynak: TÜİK</w:t>
      </w:r>
    </w:p>
    <w:p w:rsidR="000A1DB0" w:rsidRPr="00AB4023" w:rsidRDefault="000A1DB0" w:rsidP="000A1DB0">
      <w:pPr>
        <w:jc w:val="both"/>
      </w:pPr>
      <w:r>
        <w:br/>
      </w:r>
      <w:proofErr w:type="spellStart"/>
      <w:r w:rsidRPr="009C3D5A">
        <w:t>Se</w:t>
      </w:r>
      <w:r>
        <w:t>ktörel</w:t>
      </w:r>
      <w:proofErr w:type="spellEnd"/>
      <w:r>
        <w:t xml:space="preserve"> ihracatta, 2018</w:t>
      </w:r>
      <w:r w:rsidRPr="009C3D5A">
        <w:t xml:space="preserve"> </w:t>
      </w:r>
      <w:r>
        <w:t>Aralık ayında 2,1 milyar dolar ile m</w:t>
      </w:r>
      <w:r w:rsidRPr="009E6645">
        <w:t>oto</w:t>
      </w:r>
      <w:r>
        <w:t>rlu kara taşıtları, bisiklet ve</w:t>
      </w:r>
      <w:r w:rsidRPr="009E6645">
        <w:t xml:space="preserve"> motosikletler, bunların aksam ve parçası</w:t>
      </w:r>
      <w:r>
        <w:t xml:space="preserve"> lider konumdadır.</w:t>
      </w:r>
      <w:r w:rsidRPr="009C3D5A">
        <w:t xml:space="preserve"> Sektörü </w:t>
      </w:r>
      <w:r>
        <w:t>1,26</w:t>
      </w:r>
      <w:r w:rsidRPr="009C3D5A">
        <w:t xml:space="preserve"> milyar dolar ile </w:t>
      </w:r>
      <w:r>
        <w:t>demir ve çelik ihracatı ve 1,15 milyar dolar ile g</w:t>
      </w:r>
      <w:r w:rsidRPr="009E6645">
        <w:t xml:space="preserve">iyim eşyası ve bunların aksesuarları </w:t>
      </w:r>
      <w:r w:rsidRPr="009C3D5A">
        <w:t>ihracatı</w:t>
      </w:r>
      <w:r>
        <w:t xml:space="preserve"> </w:t>
      </w:r>
      <w:r w:rsidRPr="009C3D5A">
        <w:t xml:space="preserve">takip etmektedir. </w:t>
      </w:r>
      <w:proofErr w:type="gramStart"/>
      <w:r w:rsidRPr="009C3D5A">
        <w:t xml:space="preserve">İthalatta ise </w:t>
      </w:r>
      <w:r>
        <w:t>ilk sırayı 2,57 milyar dolarla gizli veri alırken, onu 1,13 milyar dolar ithalat ile m</w:t>
      </w:r>
      <w:r w:rsidRPr="009E6645">
        <w:t>oto</w:t>
      </w:r>
      <w:r>
        <w:t>rlu kara taşıtları, bisiklet ve</w:t>
      </w:r>
      <w:r w:rsidRPr="009E6645">
        <w:t xml:space="preserve"> motosikletler, bunların aksam ve parçası</w:t>
      </w:r>
      <w:r>
        <w:t xml:space="preserve">, 810,4 milyon dolar ile petrol, petrolden elde edilen ürünler ve 677,9 milyon dolarlık ithalatı ile diğer genel endüstri makine/cihazların aksamları ithalatı </w:t>
      </w:r>
      <w:r w:rsidRPr="00AB4023">
        <w:t>takip etmektedir.</w:t>
      </w:r>
      <w:proofErr w:type="gramEnd"/>
    </w:p>
    <w:p w:rsidR="000A1DB0" w:rsidRPr="00207D30" w:rsidRDefault="000A1DB0" w:rsidP="000A1DB0">
      <w:pPr>
        <w:jc w:val="both"/>
        <w:rPr>
          <w:rFonts w:eastAsia="Times New Roman" w:cs="Times New Roman"/>
          <w:b/>
          <w:bCs/>
          <w:kern w:val="36"/>
          <w:sz w:val="24"/>
          <w:szCs w:val="24"/>
        </w:rPr>
      </w:pPr>
      <w:r>
        <w:rPr>
          <w:rFonts w:eastAsia="Times New Roman" w:cs="Times New Roman"/>
          <w:b/>
          <w:bCs/>
          <w:kern w:val="36"/>
          <w:sz w:val="24"/>
          <w:szCs w:val="24"/>
        </w:rPr>
        <w:t>Şekil 5</w:t>
      </w:r>
      <w:r w:rsidRPr="009C3D5A">
        <w:rPr>
          <w:rFonts w:eastAsia="Times New Roman" w:cs="Times New Roman"/>
          <w:b/>
          <w:bCs/>
          <w:kern w:val="36"/>
          <w:sz w:val="24"/>
          <w:szCs w:val="24"/>
        </w:rPr>
        <w:t>:</w:t>
      </w:r>
      <w:r w:rsidRPr="00284EE7">
        <w:t xml:space="preserve"> </w:t>
      </w:r>
      <w:r>
        <w:rPr>
          <w:rFonts w:eastAsia="Times New Roman" w:cs="Times New Roman"/>
          <w:b/>
          <w:bCs/>
          <w:kern w:val="36"/>
          <w:sz w:val="24"/>
          <w:szCs w:val="24"/>
        </w:rPr>
        <w:t>İmalat sanayi ürünleri için teknoloji yoğunluğu, milyar $, %  (2018</w:t>
      </w:r>
      <w:r w:rsidRPr="009C3D5A">
        <w:rPr>
          <w:rFonts w:eastAsia="Times New Roman" w:cs="Times New Roman"/>
          <w:b/>
          <w:bCs/>
          <w:kern w:val="36"/>
          <w:sz w:val="24"/>
          <w:szCs w:val="24"/>
        </w:rPr>
        <w:t xml:space="preserve"> </w:t>
      </w:r>
      <w:r>
        <w:rPr>
          <w:rFonts w:eastAsia="Times New Roman" w:cs="Times New Roman"/>
          <w:b/>
          <w:bCs/>
          <w:kern w:val="36"/>
          <w:sz w:val="24"/>
          <w:szCs w:val="24"/>
        </w:rPr>
        <w:t>Aralık)</w:t>
      </w:r>
    </w:p>
    <w:tbl>
      <w:tblPr>
        <w:tblW w:w="5402" w:type="dxa"/>
        <w:tblInd w:w="93" w:type="dxa"/>
        <w:tblLook w:val="04A0" w:firstRow="1" w:lastRow="0" w:firstColumn="1" w:lastColumn="0" w:noHBand="0" w:noVBand="1"/>
      </w:tblPr>
      <w:tblGrid>
        <w:gridCol w:w="2425"/>
        <w:gridCol w:w="1559"/>
        <w:gridCol w:w="1418"/>
      </w:tblGrid>
      <w:tr w:rsidR="000A1DB0" w:rsidRPr="008378AE" w:rsidTr="00744398">
        <w:trPr>
          <w:trHeight w:val="259"/>
        </w:trPr>
        <w:tc>
          <w:tcPr>
            <w:tcW w:w="2425" w:type="dxa"/>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rsidR="000A1DB0" w:rsidRPr="008378AE" w:rsidRDefault="000A1DB0" w:rsidP="00744398">
            <w:pPr>
              <w:spacing w:after="0" w:line="240" w:lineRule="auto"/>
              <w:jc w:val="both"/>
              <w:rPr>
                <w:rFonts w:ascii="Calibri" w:eastAsia="Times New Roman" w:hAnsi="Calibri" w:cs="Calibri"/>
                <w:b/>
                <w:color w:val="FFFFFF"/>
                <w:lang w:val="en-US"/>
              </w:rPr>
            </w:pPr>
            <w:proofErr w:type="spellStart"/>
            <w:r w:rsidRPr="008378AE">
              <w:rPr>
                <w:rFonts w:ascii="Calibri" w:eastAsia="Times New Roman" w:hAnsi="Calibri" w:cs="Calibri"/>
                <w:b/>
                <w:color w:val="FFFFFF"/>
                <w:lang w:val="en-US"/>
              </w:rPr>
              <w:t>İhracat</w:t>
            </w:r>
            <w:proofErr w:type="spellEnd"/>
          </w:p>
        </w:tc>
        <w:tc>
          <w:tcPr>
            <w:tcW w:w="1559" w:type="dxa"/>
            <w:tcBorders>
              <w:top w:val="nil"/>
              <w:left w:val="nil"/>
              <w:bottom w:val="nil"/>
              <w:right w:val="single" w:sz="4" w:space="0" w:color="FFFFFF"/>
            </w:tcBorders>
            <w:shd w:val="clear" w:color="000000" w:fill="002060"/>
            <w:noWrap/>
            <w:vAlign w:val="center"/>
            <w:hideMark/>
          </w:tcPr>
          <w:p w:rsidR="000A1DB0" w:rsidRPr="008378AE" w:rsidRDefault="000A1DB0" w:rsidP="00744398">
            <w:pPr>
              <w:spacing w:after="0" w:line="240" w:lineRule="auto"/>
              <w:jc w:val="center"/>
              <w:rPr>
                <w:rFonts w:ascii="Calibri" w:eastAsia="Times New Roman" w:hAnsi="Calibri" w:cs="Calibri"/>
                <w:b/>
                <w:color w:val="FFFFFF"/>
                <w:lang w:val="en-US"/>
              </w:rPr>
            </w:pPr>
            <w:proofErr w:type="spellStart"/>
            <w:r w:rsidRPr="008378AE">
              <w:rPr>
                <w:rFonts w:ascii="Calibri" w:eastAsia="Times New Roman" w:hAnsi="Calibri" w:cs="Calibri"/>
                <w:b/>
                <w:color w:val="FFFFFF"/>
                <w:lang w:val="en-US"/>
              </w:rPr>
              <w:t>Değer</w:t>
            </w:r>
            <w:proofErr w:type="spellEnd"/>
          </w:p>
        </w:tc>
        <w:tc>
          <w:tcPr>
            <w:tcW w:w="1418" w:type="dxa"/>
            <w:tcBorders>
              <w:top w:val="nil"/>
              <w:left w:val="nil"/>
              <w:bottom w:val="nil"/>
              <w:right w:val="nil"/>
            </w:tcBorders>
            <w:shd w:val="clear" w:color="000000" w:fill="002060"/>
            <w:noWrap/>
            <w:vAlign w:val="center"/>
            <w:hideMark/>
          </w:tcPr>
          <w:p w:rsidR="000A1DB0" w:rsidRPr="008378AE" w:rsidRDefault="000A1DB0" w:rsidP="00744398">
            <w:pPr>
              <w:spacing w:after="0" w:line="240" w:lineRule="auto"/>
              <w:jc w:val="center"/>
              <w:rPr>
                <w:rFonts w:ascii="Calibri" w:eastAsia="Times New Roman" w:hAnsi="Calibri" w:cs="Calibri"/>
                <w:b/>
                <w:color w:val="FFFFFF"/>
                <w:lang w:val="en-US"/>
              </w:rPr>
            </w:pPr>
            <w:proofErr w:type="spellStart"/>
            <w:r w:rsidRPr="008378AE">
              <w:rPr>
                <w:rFonts w:ascii="Calibri" w:eastAsia="Times New Roman" w:hAnsi="Calibri" w:cs="Calibri"/>
                <w:b/>
                <w:color w:val="FFFFFF"/>
                <w:lang w:val="en-US"/>
              </w:rPr>
              <w:t>Yüzde</w:t>
            </w:r>
            <w:proofErr w:type="spellEnd"/>
          </w:p>
        </w:tc>
      </w:tr>
      <w:tr w:rsidR="000A1DB0" w:rsidRPr="008378AE" w:rsidTr="00744398">
        <w:trPr>
          <w:trHeight w:val="259"/>
        </w:trPr>
        <w:tc>
          <w:tcPr>
            <w:tcW w:w="2425" w:type="dxa"/>
            <w:tcBorders>
              <w:top w:val="nil"/>
              <w:left w:val="single" w:sz="4" w:space="0" w:color="FFFFFF"/>
              <w:bottom w:val="single" w:sz="4" w:space="0" w:color="FFFFFF"/>
              <w:right w:val="nil"/>
            </w:tcBorders>
            <w:shd w:val="clear" w:color="000000" w:fill="002060"/>
            <w:noWrap/>
            <w:vAlign w:val="center"/>
            <w:hideMark/>
          </w:tcPr>
          <w:p w:rsidR="000A1DB0" w:rsidRPr="008378AE" w:rsidRDefault="000A1DB0" w:rsidP="00744398">
            <w:pPr>
              <w:spacing w:after="0" w:line="240" w:lineRule="auto"/>
              <w:jc w:val="both"/>
              <w:rPr>
                <w:rFonts w:ascii="Calibri" w:eastAsia="Times New Roman" w:hAnsi="Calibri" w:cs="Calibri"/>
                <w:b/>
                <w:color w:val="FFFFFF"/>
                <w:lang w:val="en-US"/>
              </w:rPr>
            </w:pPr>
            <w:proofErr w:type="spellStart"/>
            <w:r w:rsidRPr="008378AE">
              <w:rPr>
                <w:rFonts w:ascii="Calibri" w:eastAsia="Times New Roman" w:hAnsi="Calibri" w:cs="Calibri"/>
                <w:b/>
                <w:color w:val="FFFFFF"/>
                <w:lang w:val="en-US"/>
              </w:rPr>
              <w:t>Toplam</w:t>
            </w:r>
            <w:proofErr w:type="spellEnd"/>
            <w:r w:rsidRPr="008378AE">
              <w:rPr>
                <w:rFonts w:ascii="Calibri" w:eastAsia="Times New Roman" w:hAnsi="Calibri" w:cs="Calibri"/>
                <w:b/>
                <w:color w:val="FFFFFF"/>
                <w:lang w:val="en-US"/>
              </w:rPr>
              <w:t xml:space="preserve"> </w:t>
            </w:r>
            <w:proofErr w:type="spellStart"/>
            <w:r w:rsidRPr="008378AE">
              <w:rPr>
                <w:rFonts w:ascii="Calibri" w:eastAsia="Times New Roman" w:hAnsi="Calibri" w:cs="Calibri"/>
                <w:b/>
                <w:color w:val="FFFFFF"/>
                <w:lang w:val="en-US"/>
              </w:rPr>
              <w:t>imalat</w:t>
            </w:r>
            <w:proofErr w:type="spellEnd"/>
            <w:r w:rsidRPr="008378AE">
              <w:rPr>
                <w:rFonts w:ascii="Calibri" w:eastAsia="Times New Roman" w:hAnsi="Calibri" w:cs="Calibri"/>
                <w:b/>
                <w:color w:val="FFFFFF"/>
                <w:lang w:val="en-US"/>
              </w:rPr>
              <w:t xml:space="preserve"> </w:t>
            </w:r>
            <w:proofErr w:type="spellStart"/>
            <w:r w:rsidRPr="008378AE">
              <w:rPr>
                <w:rFonts w:ascii="Calibri" w:eastAsia="Times New Roman" w:hAnsi="Calibri" w:cs="Calibri"/>
                <w:b/>
                <w:color w:val="FFFFFF"/>
                <w:lang w:val="en-US"/>
              </w:rPr>
              <w:t>sanayi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12,90</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sidRPr="008378AE">
              <w:rPr>
                <w:rFonts w:ascii="Calibri" w:eastAsia="Times New Roman" w:hAnsi="Calibri" w:cs="Calibri"/>
                <w:color w:val="000000"/>
                <w:lang w:val="en-US"/>
              </w:rPr>
              <w:t>100</w:t>
            </w:r>
          </w:p>
        </w:tc>
      </w:tr>
      <w:tr w:rsidR="000A1DB0" w:rsidRPr="008378AE" w:rsidTr="00744398">
        <w:trPr>
          <w:trHeight w:val="259"/>
        </w:trPr>
        <w:tc>
          <w:tcPr>
            <w:tcW w:w="2425" w:type="dxa"/>
            <w:tcBorders>
              <w:top w:val="nil"/>
              <w:left w:val="single" w:sz="4" w:space="0" w:color="FFFFFF"/>
              <w:bottom w:val="single" w:sz="4" w:space="0" w:color="FFFFFF"/>
              <w:right w:val="nil"/>
            </w:tcBorders>
            <w:shd w:val="clear" w:color="000000" w:fill="002060"/>
            <w:noWrap/>
            <w:vAlign w:val="center"/>
            <w:hideMark/>
          </w:tcPr>
          <w:p w:rsidR="000A1DB0" w:rsidRPr="008378AE" w:rsidRDefault="000A1DB0" w:rsidP="00744398">
            <w:pPr>
              <w:spacing w:after="0" w:line="240" w:lineRule="auto"/>
              <w:jc w:val="both"/>
              <w:rPr>
                <w:rFonts w:ascii="Calibri" w:eastAsia="Times New Roman" w:hAnsi="Calibri" w:cs="Calibri"/>
                <w:b/>
                <w:color w:val="FFFFFF"/>
                <w:lang w:val="en-US"/>
              </w:rPr>
            </w:pPr>
            <w:proofErr w:type="spellStart"/>
            <w:r w:rsidRPr="008378AE">
              <w:rPr>
                <w:rFonts w:ascii="Calibri" w:eastAsia="Times New Roman" w:hAnsi="Calibri" w:cs="Calibri"/>
                <w:b/>
                <w:color w:val="FFFFFF"/>
                <w:lang w:val="en-US"/>
              </w:rPr>
              <w:t>Yüksek</w:t>
            </w:r>
            <w:proofErr w:type="spellEnd"/>
            <w:r w:rsidRPr="008378AE">
              <w:rPr>
                <w:rFonts w:ascii="Calibri" w:eastAsia="Times New Roman" w:hAnsi="Calibri" w:cs="Calibri"/>
                <w:b/>
                <w:color w:val="FFFFFF"/>
                <w:lang w:val="en-US"/>
              </w:rPr>
              <w:t xml:space="preserve"> </w:t>
            </w:r>
            <w:proofErr w:type="spellStart"/>
            <w:r w:rsidRPr="008378AE">
              <w:rPr>
                <w:rFonts w:ascii="Calibri" w:eastAsia="Times New Roman" w:hAnsi="Calibri" w:cs="Calibri"/>
                <w:b/>
                <w:color w:val="FFFFFF"/>
                <w:lang w:val="en-US"/>
              </w:rPr>
              <w:t>teknoloji</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0,55</w:t>
            </w:r>
          </w:p>
        </w:tc>
        <w:tc>
          <w:tcPr>
            <w:tcW w:w="1418" w:type="dxa"/>
            <w:tcBorders>
              <w:top w:val="nil"/>
              <w:left w:val="nil"/>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4,3</w:t>
            </w:r>
          </w:p>
        </w:tc>
      </w:tr>
      <w:tr w:rsidR="000A1DB0" w:rsidRPr="008378AE" w:rsidTr="00744398">
        <w:trPr>
          <w:trHeight w:val="259"/>
        </w:trPr>
        <w:tc>
          <w:tcPr>
            <w:tcW w:w="2425" w:type="dxa"/>
            <w:tcBorders>
              <w:top w:val="nil"/>
              <w:left w:val="single" w:sz="4" w:space="0" w:color="FFFFFF"/>
              <w:bottom w:val="single" w:sz="4" w:space="0" w:color="FFFFFF"/>
              <w:right w:val="nil"/>
            </w:tcBorders>
            <w:shd w:val="clear" w:color="000000" w:fill="002060"/>
            <w:noWrap/>
            <w:vAlign w:val="center"/>
            <w:hideMark/>
          </w:tcPr>
          <w:p w:rsidR="000A1DB0" w:rsidRPr="008378AE" w:rsidRDefault="000A1DB0" w:rsidP="00744398">
            <w:pPr>
              <w:spacing w:after="0" w:line="240" w:lineRule="auto"/>
              <w:jc w:val="both"/>
              <w:rPr>
                <w:rFonts w:ascii="Calibri" w:eastAsia="Times New Roman" w:hAnsi="Calibri" w:cs="Calibri"/>
                <w:b/>
                <w:color w:val="FFFFFF"/>
                <w:lang w:val="en-US"/>
              </w:rPr>
            </w:pPr>
            <w:proofErr w:type="spellStart"/>
            <w:r w:rsidRPr="008378AE">
              <w:rPr>
                <w:rFonts w:ascii="Calibri" w:eastAsia="Times New Roman" w:hAnsi="Calibri" w:cs="Calibri"/>
                <w:b/>
                <w:color w:val="FFFFFF"/>
                <w:lang w:val="en-US"/>
              </w:rPr>
              <w:t>Orta-yüksek</w:t>
            </w:r>
            <w:proofErr w:type="spellEnd"/>
            <w:r w:rsidRPr="008378AE">
              <w:rPr>
                <w:rFonts w:ascii="Calibri" w:eastAsia="Times New Roman" w:hAnsi="Calibri" w:cs="Calibri"/>
                <w:b/>
                <w:color w:val="FFFFFF"/>
                <w:lang w:val="en-US"/>
              </w:rPr>
              <w:t xml:space="preserve"> </w:t>
            </w:r>
            <w:proofErr w:type="spellStart"/>
            <w:r w:rsidRPr="008378AE">
              <w:rPr>
                <w:rFonts w:ascii="Calibri" w:eastAsia="Times New Roman" w:hAnsi="Calibri" w:cs="Calibri"/>
                <w:b/>
                <w:color w:val="FFFFFF"/>
                <w:lang w:val="en-US"/>
              </w:rPr>
              <w:t>teknoloji</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4,70</w:t>
            </w:r>
          </w:p>
        </w:tc>
        <w:tc>
          <w:tcPr>
            <w:tcW w:w="1418" w:type="dxa"/>
            <w:tcBorders>
              <w:top w:val="nil"/>
              <w:left w:val="nil"/>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36,4</w:t>
            </w:r>
          </w:p>
        </w:tc>
      </w:tr>
      <w:tr w:rsidR="000A1DB0" w:rsidRPr="008378AE" w:rsidTr="00744398">
        <w:trPr>
          <w:trHeight w:val="259"/>
        </w:trPr>
        <w:tc>
          <w:tcPr>
            <w:tcW w:w="2425" w:type="dxa"/>
            <w:tcBorders>
              <w:top w:val="nil"/>
              <w:left w:val="single" w:sz="4" w:space="0" w:color="FFFFFF"/>
              <w:bottom w:val="single" w:sz="4" w:space="0" w:color="FFFFFF"/>
              <w:right w:val="nil"/>
            </w:tcBorders>
            <w:shd w:val="clear" w:color="000000" w:fill="002060"/>
            <w:noWrap/>
            <w:vAlign w:val="center"/>
            <w:hideMark/>
          </w:tcPr>
          <w:p w:rsidR="000A1DB0" w:rsidRPr="008378AE" w:rsidRDefault="000A1DB0" w:rsidP="00744398">
            <w:pPr>
              <w:spacing w:after="0" w:line="240" w:lineRule="auto"/>
              <w:jc w:val="both"/>
              <w:rPr>
                <w:rFonts w:ascii="Calibri" w:eastAsia="Times New Roman" w:hAnsi="Calibri" w:cs="Calibri"/>
                <w:b/>
                <w:color w:val="FFFFFF"/>
                <w:lang w:val="en-US"/>
              </w:rPr>
            </w:pPr>
            <w:proofErr w:type="spellStart"/>
            <w:r w:rsidRPr="008378AE">
              <w:rPr>
                <w:rFonts w:ascii="Calibri" w:eastAsia="Times New Roman" w:hAnsi="Calibri" w:cs="Calibri"/>
                <w:b/>
                <w:color w:val="FFFFFF"/>
                <w:lang w:val="en-US"/>
              </w:rPr>
              <w:t>Orta-düşük</w:t>
            </w:r>
            <w:proofErr w:type="spellEnd"/>
            <w:r w:rsidRPr="008378AE">
              <w:rPr>
                <w:rFonts w:ascii="Calibri" w:eastAsia="Times New Roman" w:hAnsi="Calibri" w:cs="Calibri"/>
                <w:b/>
                <w:color w:val="FFFFFF"/>
                <w:lang w:val="en-US"/>
              </w:rPr>
              <w:t xml:space="preserve"> </w:t>
            </w:r>
            <w:proofErr w:type="spellStart"/>
            <w:r w:rsidRPr="008378AE">
              <w:rPr>
                <w:rFonts w:ascii="Calibri" w:eastAsia="Times New Roman" w:hAnsi="Calibri" w:cs="Calibri"/>
                <w:b/>
                <w:color w:val="FFFFFF"/>
                <w:lang w:val="en-US"/>
              </w:rPr>
              <w:t>teknoloji</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3,58</w:t>
            </w:r>
          </w:p>
        </w:tc>
        <w:tc>
          <w:tcPr>
            <w:tcW w:w="1418" w:type="dxa"/>
            <w:tcBorders>
              <w:top w:val="nil"/>
              <w:left w:val="nil"/>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27,8</w:t>
            </w:r>
          </w:p>
        </w:tc>
      </w:tr>
      <w:tr w:rsidR="000A1DB0" w:rsidRPr="008378AE" w:rsidTr="00744398">
        <w:trPr>
          <w:trHeight w:val="259"/>
        </w:trPr>
        <w:tc>
          <w:tcPr>
            <w:tcW w:w="2425" w:type="dxa"/>
            <w:tcBorders>
              <w:top w:val="nil"/>
              <w:left w:val="single" w:sz="4" w:space="0" w:color="FFFFFF"/>
              <w:bottom w:val="single" w:sz="4" w:space="0" w:color="FFFFFF"/>
              <w:right w:val="nil"/>
            </w:tcBorders>
            <w:shd w:val="clear" w:color="000000" w:fill="002060"/>
            <w:noWrap/>
            <w:vAlign w:val="center"/>
            <w:hideMark/>
          </w:tcPr>
          <w:p w:rsidR="000A1DB0" w:rsidRPr="008378AE" w:rsidRDefault="000A1DB0" w:rsidP="00744398">
            <w:pPr>
              <w:spacing w:after="0" w:line="240" w:lineRule="auto"/>
              <w:jc w:val="both"/>
              <w:rPr>
                <w:rFonts w:ascii="Calibri" w:eastAsia="Times New Roman" w:hAnsi="Calibri" w:cs="Calibri"/>
                <w:b/>
                <w:color w:val="FFFFFF"/>
                <w:lang w:val="en-US"/>
              </w:rPr>
            </w:pPr>
            <w:proofErr w:type="spellStart"/>
            <w:r w:rsidRPr="008378AE">
              <w:rPr>
                <w:rFonts w:ascii="Calibri" w:eastAsia="Times New Roman" w:hAnsi="Calibri" w:cs="Calibri"/>
                <w:b/>
                <w:color w:val="FFFFFF"/>
                <w:lang w:val="en-US"/>
              </w:rPr>
              <w:t>Düşük</w:t>
            </w:r>
            <w:proofErr w:type="spellEnd"/>
            <w:r w:rsidRPr="008378AE">
              <w:rPr>
                <w:rFonts w:ascii="Calibri" w:eastAsia="Times New Roman" w:hAnsi="Calibri" w:cs="Calibri"/>
                <w:b/>
                <w:color w:val="FFFFFF"/>
                <w:lang w:val="en-US"/>
              </w:rPr>
              <w:t xml:space="preserve"> </w:t>
            </w:r>
            <w:proofErr w:type="spellStart"/>
            <w:r w:rsidRPr="008378AE">
              <w:rPr>
                <w:rFonts w:ascii="Calibri" w:eastAsia="Times New Roman" w:hAnsi="Calibri" w:cs="Calibri"/>
                <w:b/>
                <w:color w:val="FFFFFF"/>
                <w:lang w:val="en-US"/>
              </w:rPr>
              <w:t>teknoloji</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4,07</w:t>
            </w:r>
          </w:p>
        </w:tc>
        <w:tc>
          <w:tcPr>
            <w:tcW w:w="1418" w:type="dxa"/>
            <w:tcBorders>
              <w:top w:val="nil"/>
              <w:left w:val="nil"/>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31,5</w:t>
            </w:r>
          </w:p>
        </w:tc>
      </w:tr>
    </w:tbl>
    <w:p w:rsidR="000A1DB0" w:rsidRDefault="000A1DB0" w:rsidP="000A1DB0">
      <w:pPr>
        <w:spacing w:after="0" w:line="240" w:lineRule="auto"/>
        <w:rPr>
          <w:rFonts w:eastAsia="Times New Roman" w:cs="Times New Roman"/>
          <w:bCs/>
          <w:kern w:val="36"/>
        </w:rPr>
      </w:pPr>
    </w:p>
    <w:tbl>
      <w:tblPr>
        <w:tblW w:w="5402" w:type="dxa"/>
        <w:tblInd w:w="93" w:type="dxa"/>
        <w:tblLook w:val="04A0" w:firstRow="1" w:lastRow="0" w:firstColumn="1" w:lastColumn="0" w:noHBand="0" w:noVBand="1"/>
      </w:tblPr>
      <w:tblGrid>
        <w:gridCol w:w="2425"/>
        <w:gridCol w:w="1559"/>
        <w:gridCol w:w="1418"/>
      </w:tblGrid>
      <w:tr w:rsidR="000A1DB0" w:rsidRPr="008378AE" w:rsidTr="00744398">
        <w:trPr>
          <w:trHeight w:val="219"/>
        </w:trPr>
        <w:tc>
          <w:tcPr>
            <w:tcW w:w="2425" w:type="dxa"/>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rsidR="000A1DB0" w:rsidRPr="008378AE" w:rsidRDefault="000A1DB0" w:rsidP="00744398">
            <w:pPr>
              <w:spacing w:after="0" w:line="240" w:lineRule="auto"/>
              <w:rPr>
                <w:rFonts w:ascii="Calibri" w:eastAsia="Times New Roman" w:hAnsi="Calibri" w:cs="Calibri"/>
                <w:b/>
                <w:color w:val="FFFFFF"/>
                <w:lang w:val="en-US"/>
              </w:rPr>
            </w:pPr>
            <w:proofErr w:type="spellStart"/>
            <w:r w:rsidRPr="008378AE">
              <w:rPr>
                <w:rFonts w:ascii="Calibri" w:eastAsia="Times New Roman" w:hAnsi="Calibri" w:cs="Calibri"/>
                <w:b/>
                <w:color w:val="FFFFFF"/>
                <w:lang w:val="en-US"/>
              </w:rPr>
              <w:lastRenderedPageBreak/>
              <w:t>İthalat</w:t>
            </w:r>
            <w:proofErr w:type="spellEnd"/>
          </w:p>
        </w:tc>
        <w:tc>
          <w:tcPr>
            <w:tcW w:w="1559" w:type="dxa"/>
            <w:tcBorders>
              <w:top w:val="nil"/>
              <w:left w:val="nil"/>
              <w:bottom w:val="nil"/>
              <w:right w:val="single" w:sz="4" w:space="0" w:color="FFFFFF"/>
            </w:tcBorders>
            <w:shd w:val="clear" w:color="000000" w:fill="002060"/>
            <w:noWrap/>
            <w:vAlign w:val="center"/>
            <w:hideMark/>
          </w:tcPr>
          <w:p w:rsidR="000A1DB0" w:rsidRPr="008378AE" w:rsidRDefault="000A1DB0" w:rsidP="00744398">
            <w:pPr>
              <w:spacing w:after="0" w:line="240" w:lineRule="auto"/>
              <w:jc w:val="center"/>
              <w:rPr>
                <w:rFonts w:ascii="Calibri" w:eastAsia="Times New Roman" w:hAnsi="Calibri" w:cs="Calibri"/>
                <w:b/>
                <w:color w:val="FFFFFF"/>
                <w:lang w:val="en-US"/>
              </w:rPr>
            </w:pPr>
            <w:proofErr w:type="spellStart"/>
            <w:r w:rsidRPr="008378AE">
              <w:rPr>
                <w:rFonts w:ascii="Calibri" w:eastAsia="Times New Roman" w:hAnsi="Calibri" w:cs="Calibri"/>
                <w:b/>
                <w:color w:val="FFFFFF"/>
                <w:lang w:val="en-US"/>
              </w:rPr>
              <w:t>Değer</w:t>
            </w:r>
            <w:proofErr w:type="spellEnd"/>
          </w:p>
        </w:tc>
        <w:tc>
          <w:tcPr>
            <w:tcW w:w="1418" w:type="dxa"/>
            <w:tcBorders>
              <w:top w:val="nil"/>
              <w:left w:val="nil"/>
              <w:bottom w:val="nil"/>
              <w:right w:val="nil"/>
            </w:tcBorders>
            <w:shd w:val="clear" w:color="000000" w:fill="002060"/>
            <w:noWrap/>
            <w:vAlign w:val="center"/>
            <w:hideMark/>
          </w:tcPr>
          <w:p w:rsidR="000A1DB0" w:rsidRPr="008378AE" w:rsidRDefault="000A1DB0" w:rsidP="00744398">
            <w:pPr>
              <w:spacing w:after="0" w:line="240" w:lineRule="auto"/>
              <w:jc w:val="center"/>
              <w:rPr>
                <w:rFonts w:ascii="Calibri" w:eastAsia="Times New Roman" w:hAnsi="Calibri" w:cs="Calibri"/>
                <w:b/>
                <w:color w:val="FFFFFF"/>
                <w:lang w:val="en-US"/>
              </w:rPr>
            </w:pPr>
            <w:proofErr w:type="spellStart"/>
            <w:r w:rsidRPr="008378AE">
              <w:rPr>
                <w:rFonts w:ascii="Calibri" w:eastAsia="Times New Roman" w:hAnsi="Calibri" w:cs="Calibri"/>
                <w:b/>
                <w:color w:val="FFFFFF"/>
                <w:lang w:val="en-US"/>
              </w:rPr>
              <w:t>Yüzde</w:t>
            </w:r>
            <w:proofErr w:type="spellEnd"/>
          </w:p>
        </w:tc>
      </w:tr>
      <w:tr w:rsidR="000A1DB0" w:rsidRPr="008378AE" w:rsidTr="00744398">
        <w:trPr>
          <w:trHeight w:val="219"/>
        </w:trPr>
        <w:tc>
          <w:tcPr>
            <w:tcW w:w="2425" w:type="dxa"/>
            <w:tcBorders>
              <w:top w:val="nil"/>
              <w:left w:val="single" w:sz="4" w:space="0" w:color="FFFFFF"/>
              <w:bottom w:val="single" w:sz="4" w:space="0" w:color="FFFFFF"/>
              <w:right w:val="nil"/>
            </w:tcBorders>
            <w:shd w:val="clear" w:color="000000" w:fill="002060"/>
            <w:noWrap/>
            <w:vAlign w:val="center"/>
            <w:hideMark/>
          </w:tcPr>
          <w:p w:rsidR="000A1DB0" w:rsidRPr="008378AE" w:rsidRDefault="000A1DB0" w:rsidP="00744398">
            <w:pPr>
              <w:spacing w:after="0" w:line="240" w:lineRule="auto"/>
              <w:rPr>
                <w:rFonts w:ascii="Calibri" w:eastAsia="Times New Roman" w:hAnsi="Calibri" w:cs="Calibri"/>
                <w:b/>
                <w:color w:val="FFFFFF"/>
                <w:lang w:val="en-US"/>
              </w:rPr>
            </w:pPr>
            <w:proofErr w:type="spellStart"/>
            <w:r w:rsidRPr="008378AE">
              <w:rPr>
                <w:rFonts w:ascii="Calibri" w:eastAsia="Times New Roman" w:hAnsi="Calibri" w:cs="Calibri"/>
                <w:b/>
                <w:color w:val="FFFFFF"/>
                <w:lang w:val="en-US"/>
              </w:rPr>
              <w:t>Toplam</w:t>
            </w:r>
            <w:proofErr w:type="spellEnd"/>
            <w:r w:rsidRPr="008378AE">
              <w:rPr>
                <w:rFonts w:ascii="Calibri" w:eastAsia="Times New Roman" w:hAnsi="Calibri" w:cs="Calibri"/>
                <w:b/>
                <w:color w:val="FFFFFF"/>
                <w:lang w:val="en-US"/>
              </w:rPr>
              <w:t xml:space="preserve"> </w:t>
            </w:r>
            <w:proofErr w:type="spellStart"/>
            <w:r w:rsidRPr="008378AE">
              <w:rPr>
                <w:rFonts w:ascii="Calibri" w:eastAsia="Times New Roman" w:hAnsi="Calibri" w:cs="Calibri"/>
                <w:b/>
                <w:color w:val="FFFFFF"/>
                <w:lang w:val="en-US"/>
              </w:rPr>
              <w:t>imalat</w:t>
            </w:r>
            <w:proofErr w:type="spellEnd"/>
            <w:r w:rsidRPr="008378AE">
              <w:rPr>
                <w:rFonts w:ascii="Calibri" w:eastAsia="Times New Roman" w:hAnsi="Calibri" w:cs="Calibri"/>
                <w:b/>
                <w:color w:val="FFFFFF"/>
                <w:lang w:val="en-US"/>
              </w:rPr>
              <w:t xml:space="preserve"> </w:t>
            </w:r>
            <w:proofErr w:type="spellStart"/>
            <w:r w:rsidRPr="008378AE">
              <w:rPr>
                <w:rFonts w:ascii="Calibri" w:eastAsia="Times New Roman" w:hAnsi="Calibri" w:cs="Calibri"/>
                <w:b/>
                <w:color w:val="FFFFFF"/>
                <w:lang w:val="en-US"/>
              </w:rPr>
              <w:t>sanayi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sidRPr="008378AE">
              <w:rPr>
                <w:rFonts w:ascii="Calibri" w:eastAsia="Times New Roman" w:hAnsi="Calibri" w:cs="Calibri"/>
                <w:color w:val="000000"/>
                <w:lang w:val="en-US"/>
              </w:rPr>
              <w:t>1</w:t>
            </w:r>
            <w:r>
              <w:rPr>
                <w:rFonts w:ascii="Calibri" w:eastAsia="Times New Roman" w:hAnsi="Calibri" w:cs="Calibri"/>
                <w:color w:val="000000"/>
                <w:lang w:val="en-US"/>
              </w:rPr>
              <w:t>2,21</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sidRPr="008378AE">
              <w:rPr>
                <w:rFonts w:ascii="Calibri" w:eastAsia="Times New Roman" w:hAnsi="Calibri" w:cs="Calibri"/>
                <w:color w:val="000000"/>
                <w:lang w:val="en-US"/>
              </w:rPr>
              <w:t>100</w:t>
            </w:r>
          </w:p>
        </w:tc>
      </w:tr>
      <w:tr w:rsidR="000A1DB0" w:rsidRPr="008378AE" w:rsidTr="00744398">
        <w:trPr>
          <w:trHeight w:val="219"/>
        </w:trPr>
        <w:tc>
          <w:tcPr>
            <w:tcW w:w="2425" w:type="dxa"/>
            <w:tcBorders>
              <w:top w:val="nil"/>
              <w:left w:val="single" w:sz="4" w:space="0" w:color="FFFFFF"/>
              <w:bottom w:val="single" w:sz="4" w:space="0" w:color="FFFFFF"/>
              <w:right w:val="nil"/>
            </w:tcBorders>
            <w:shd w:val="clear" w:color="000000" w:fill="002060"/>
            <w:noWrap/>
            <w:vAlign w:val="center"/>
            <w:hideMark/>
          </w:tcPr>
          <w:p w:rsidR="000A1DB0" w:rsidRPr="008378AE" w:rsidRDefault="000A1DB0" w:rsidP="00744398">
            <w:pPr>
              <w:spacing w:after="0" w:line="240" w:lineRule="auto"/>
              <w:rPr>
                <w:rFonts w:ascii="Calibri" w:eastAsia="Times New Roman" w:hAnsi="Calibri" w:cs="Calibri"/>
                <w:b/>
                <w:color w:val="FFFFFF"/>
                <w:lang w:val="en-US"/>
              </w:rPr>
            </w:pPr>
            <w:proofErr w:type="spellStart"/>
            <w:r w:rsidRPr="008378AE">
              <w:rPr>
                <w:rFonts w:ascii="Calibri" w:eastAsia="Times New Roman" w:hAnsi="Calibri" w:cs="Calibri"/>
                <w:b/>
                <w:color w:val="FFFFFF"/>
                <w:lang w:val="en-US"/>
              </w:rPr>
              <w:t>Yüksek</w:t>
            </w:r>
            <w:proofErr w:type="spellEnd"/>
            <w:r w:rsidRPr="008378AE">
              <w:rPr>
                <w:rFonts w:ascii="Calibri" w:eastAsia="Times New Roman" w:hAnsi="Calibri" w:cs="Calibri"/>
                <w:b/>
                <w:color w:val="FFFFFF"/>
                <w:lang w:val="en-US"/>
              </w:rPr>
              <w:t xml:space="preserve"> </w:t>
            </w:r>
            <w:proofErr w:type="spellStart"/>
            <w:r w:rsidRPr="008378AE">
              <w:rPr>
                <w:rFonts w:ascii="Calibri" w:eastAsia="Times New Roman" w:hAnsi="Calibri" w:cs="Calibri"/>
                <w:b/>
                <w:color w:val="FFFFFF"/>
                <w:lang w:val="en-US"/>
              </w:rPr>
              <w:t>teknoloji</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2,01</w:t>
            </w:r>
          </w:p>
        </w:tc>
        <w:tc>
          <w:tcPr>
            <w:tcW w:w="1418" w:type="dxa"/>
            <w:tcBorders>
              <w:top w:val="nil"/>
              <w:left w:val="nil"/>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16,5</w:t>
            </w:r>
          </w:p>
        </w:tc>
      </w:tr>
      <w:tr w:rsidR="000A1DB0" w:rsidRPr="008378AE" w:rsidTr="00744398">
        <w:trPr>
          <w:trHeight w:val="219"/>
        </w:trPr>
        <w:tc>
          <w:tcPr>
            <w:tcW w:w="2425" w:type="dxa"/>
            <w:tcBorders>
              <w:top w:val="nil"/>
              <w:left w:val="single" w:sz="4" w:space="0" w:color="FFFFFF"/>
              <w:bottom w:val="single" w:sz="4" w:space="0" w:color="FFFFFF"/>
              <w:right w:val="nil"/>
            </w:tcBorders>
            <w:shd w:val="clear" w:color="000000" w:fill="002060"/>
            <w:noWrap/>
            <w:vAlign w:val="center"/>
            <w:hideMark/>
          </w:tcPr>
          <w:p w:rsidR="000A1DB0" w:rsidRPr="008378AE" w:rsidRDefault="000A1DB0" w:rsidP="00744398">
            <w:pPr>
              <w:spacing w:after="0" w:line="240" w:lineRule="auto"/>
              <w:rPr>
                <w:rFonts w:ascii="Calibri" w:eastAsia="Times New Roman" w:hAnsi="Calibri" w:cs="Calibri"/>
                <w:b/>
                <w:color w:val="FFFFFF"/>
                <w:lang w:val="en-US"/>
              </w:rPr>
            </w:pPr>
            <w:proofErr w:type="spellStart"/>
            <w:r w:rsidRPr="008378AE">
              <w:rPr>
                <w:rFonts w:ascii="Calibri" w:eastAsia="Times New Roman" w:hAnsi="Calibri" w:cs="Calibri"/>
                <w:b/>
                <w:color w:val="FFFFFF"/>
                <w:lang w:val="en-US"/>
              </w:rPr>
              <w:t>Orta-yüksek</w:t>
            </w:r>
            <w:proofErr w:type="spellEnd"/>
            <w:r w:rsidRPr="008378AE">
              <w:rPr>
                <w:rFonts w:ascii="Calibri" w:eastAsia="Times New Roman" w:hAnsi="Calibri" w:cs="Calibri"/>
                <w:b/>
                <w:color w:val="FFFFFF"/>
                <w:lang w:val="en-US"/>
              </w:rPr>
              <w:t xml:space="preserve"> </w:t>
            </w:r>
            <w:proofErr w:type="spellStart"/>
            <w:r w:rsidRPr="008378AE">
              <w:rPr>
                <w:rFonts w:ascii="Calibri" w:eastAsia="Times New Roman" w:hAnsi="Calibri" w:cs="Calibri"/>
                <w:b/>
                <w:color w:val="FFFFFF"/>
                <w:lang w:val="en-US"/>
              </w:rPr>
              <w:t>teknoloji</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5,42</w:t>
            </w:r>
          </w:p>
        </w:tc>
        <w:tc>
          <w:tcPr>
            <w:tcW w:w="1418" w:type="dxa"/>
            <w:tcBorders>
              <w:top w:val="nil"/>
              <w:left w:val="nil"/>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44,3</w:t>
            </w:r>
          </w:p>
        </w:tc>
      </w:tr>
      <w:tr w:rsidR="000A1DB0" w:rsidRPr="008378AE" w:rsidTr="00744398">
        <w:trPr>
          <w:trHeight w:val="219"/>
        </w:trPr>
        <w:tc>
          <w:tcPr>
            <w:tcW w:w="2425" w:type="dxa"/>
            <w:tcBorders>
              <w:top w:val="nil"/>
              <w:left w:val="single" w:sz="4" w:space="0" w:color="FFFFFF"/>
              <w:bottom w:val="single" w:sz="4" w:space="0" w:color="FFFFFF"/>
              <w:right w:val="nil"/>
            </w:tcBorders>
            <w:shd w:val="clear" w:color="000000" w:fill="002060"/>
            <w:noWrap/>
            <w:vAlign w:val="center"/>
            <w:hideMark/>
          </w:tcPr>
          <w:p w:rsidR="000A1DB0" w:rsidRPr="008378AE" w:rsidRDefault="000A1DB0" w:rsidP="00744398">
            <w:pPr>
              <w:spacing w:after="0" w:line="240" w:lineRule="auto"/>
              <w:rPr>
                <w:rFonts w:ascii="Calibri" w:eastAsia="Times New Roman" w:hAnsi="Calibri" w:cs="Calibri"/>
                <w:b/>
                <w:color w:val="FFFFFF"/>
                <w:lang w:val="en-US"/>
              </w:rPr>
            </w:pPr>
            <w:proofErr w:type="spellStart"/>
            <w:r w:rsidRPr="008378AE">
              <w:rPr>
                <w:rFonts w:ascii="Calibri" w:eastAsia="Times New Roman" w:hAnsi="Calibri" w:cs="Calibri"/>
                <w:b/>
                <w:color w:val="FFFFFF"/>
                <w:lang w:val="en-US"/>
              </w:rPr>
              <w:t>Orta-düşük</w:t>
            </w:r>
            <w:proofErr w:type="spellEnd"/>
            <w:r w:rsidRPr="008378AE">
              <w:rPr>
                <w:rFonts w:ascii="Calibri" w:eastAsia="Times New Roman" w:hAnsi="Calibri" w:cs="Calibri"/>
                <w:b/>
                <w:color w:val="FFFFFF"/>
                <w:lang w:val="en-US"/>
              </w:rPr>
              <w:t xml:space="preserve"> </w:t>
            </w:r>
            <w:proofErr w:type="spellStart"/>
            <w:r w:rsidRPr="008378AE">
              <w:rPr>
                <w:rFonts w:ascii="Calibri" w:eastAsia="Times New Roman" w:hAnsi="Calibri" w:cs="Calibri"/>
                <w:b/>
                <w:color w:val="FFFFFF"/>
                <w:lang w:val="en-US"/>
              </w:rPr>
              <w:t>teknoloji</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3,42</w:t>
            </w:r>
          </w:p>
        </w:tc>
        <w:tc>
          <w:tcPr>
            <w:tcW w:w="1418" w:type="dxa"/>
            <w:tcBorders>
              <w:top w:val="nil"/>
              <w:left w:val="nil"/>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28</w:t>
            </w:r>
          </w:p>
        </w:tc>
      </w:tr>
      <w:tr w:rsidR="000A1DB0" w:rsidRPr="008378AE" w:rsidTr="00744398">
        <w:trPr>
          <w:trHeight w:val="219"/>
        </w:trPr>
        <w:tc>
          <w:tcPr>
            <w:tcW w:w="2425" w:type="dxa"/>
            <w:tcBorders>
              <w:top w:val="nil"/>
              <w:left w:val="single" w:sz="4" w:space="0" w:color="FFFFFF"/>
              <w:bottom w:val="single" w:sz="4" w:space="0" w:color="FFFFFF"/>
              <w:right w:val="nil"/>
            </w:tcBorders>
            <w:shd w:val="clear" w:color="000000" w:fill="002060"/>
            <w:noWrap/>
            <w:vAlign w:val="center"/>
            <w:hideMark/>
          </w:tcPr>
          <w:p w:rsidR="000A1DB0" w:rsidRPr="008378AE" w:rsidRDefault="000A1DB0" w:rsidP="00744398">
            <w:pPr>
              <w:spacing w:after="0" w:line="240" w:lineRule="auto"/>
              <w:rPr>
                <w:rFonts w:ascii="Calibri" w:eastAsia="Times New Roman" w:hAnsi="Calibri" w:cs="Calibri"/>
                <w:b/>
                <w:color w:val="FFFFFF"/>
                <w:lang w:val="en-US"/>
              </w:rPr>
            </w:pPr>
            <w:proofErr w:type="spellStart"/>
            <w:r w:rsidRPr="008378AE">
              <w:rPr>
                <w:rFonts w:ascii="Calibri" w:eastAsia="Times New Roman" w:hAnsi="Calibri" w:cs="Calibri"/>
                <w:b/>
                <w:color w:val="FFFFFF"/>
                <w:lang w:val="en-US"/>
              </w:rPr>
              <w:t>Düşük</w:t>
            </w:r>
            <w:proofErr w:type="spellEnd"/>
            <w:r w:rsidRPr="008378AE">
              <w:rPr>
                <w:rFonts w:ascii="Calibri" w:eastAsia="Times New Roman" w:hAnsi="Calibri" w:cs="Calibri"/>
                <w:b/>
                <w:color w:val="FFFFFF"/>
                <w:lang w:val="en-US"/>
              </w:rPr>
              <w:t xml:space="preserve"> </w:t>
            </w:r>
            <w:proofErr w:type="spellStart"/>
            <w:r w:rsidRPr="008378AE">
              <w:rPr>
                <w:rFonts w:ascii="Calibri" w:eastAsia="Times New Roman" w:hAnsi="Calibri" w:cs="Calibri"/>
                <w:b/>
                <w:color w:val="FFFFFF"/>
                <w:lang w:val="en-US"/>
              </w:rPr>
              <w:t>teknoloji</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1,36</w:t>
            </w:r>
          </w:p>
        </w:tc>
        <w:tc>
          <w:tcPr>
            <w:tcW w:w="1418" w:type="dxa"/>
            <w:tcBorders>
              <w:top w:val="nil"/>
              <w:left w:val="nil"/>
              <w:bottom w:val="single" w:sz="4" w:space="0" w:color="000000"/>
              <w:right w:val="single" w:sz="4" w:space="0" w:color="000000"/>
            </w:tcBorders>
            <w:shd w:val="clear" w:color="auto" w:fill="auto"/>
            <w:noWrap/>
            <w:vAlign w:val="center"/>
            <w:hideMark/>
          </w:tcPr>
          <w:p w:rsidR="000A1DB0" w:rsidRPr="008378AE" w:rsidRDefault="000A1DB0" w:rsidP="0074439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11,1</w:t>
            </w:r>
          </w:p>
        </w:tc>
      </w:tr>
    </w:tbl>
    <w:p w:rsidR="000A1DB0" w:rsidRDefault="000A1DB0" w:rsidP="000A1DB0">
      <w:pPr>
        <w:spacing w:after="0" w:line="240" w:lineRule="auto"/>
        <w:rPr>
          <w:rFonts w:eastAsia="Times New Roman" w:cs="Times New Roman"/>
          <w:b/>
          <w:bCs/>
          <w:kern w:val="36"/>
          <w:sz w:val="16"/>
          <w:szCs w:val="24"/>
        </w:rPr>
      </w:pPr>
      <w:r w:rsidRPr="008D17ED">
        <w:rPr>
          <w:rFonts w:eastAsia="Times New Roman" w:cs="Times New Roman"/>
          <w:b/>
          <w:bCs/>
          <w:kern w:val="36"/>
          <w:sz w:val="16"/>
          <w:szCs w:val="24"/>
        </w:rPr>
        <w:t>Kaynak: TÜİK</w:t>
      </w:r>
    </w:p>
    <w:p w:rsidR="000A1DB0" w:rsidRPr="00D074EA" w:rsidRDefault="000A1DB0" w:rsidP="000A1DB0">
      <w:pPr>
        <w:spacing w:after="0" w:line="240" w:lineRule="auto"/>
        <w:rPr>
          <w:rFonts w:eastAsia="Times New Roman" w:cs="Times New Roman"/>
          <w:bCs/>
          <w:kern w:val="36"/>
        </w:rPr>
      </w:pPr>
    </w:p>
    <w:p w:rsidR="000A1DB0" w:rsidRPr="00DD6AA5" w:rsidRDefault="000A1DB0" w:rsidP="000A1DB0">
      <w:pPr>
        <w:jc w:val="both"/>
      </w:pPr>
      <w:r w:rsidRPr="009C3D5A">
        <w:t xml:space="preserve">Türkiye İstatistik Kurumu imalat sanayi ürünleri için teknoloji yoğunluğuna göre dış ticaret verilerini de açıklamaktadır. ISIC </w:t>
      </w:r>
      <w:r>
        <w:t>REV</w:t>
      </w:r>
      <w:r w:rsidRPr="009C3D5A">
        <w:t>.3 sınıflamasına göre</w:t>
      </w:r>
      <w:r>
        <w:t xml:space="preserve"> 2018</w:t>
      </w:r>
      <w:r w:rsidRPr="009C3D5A">
        <w:t xml:space="preserve"> </w:t>
      </w:r>
      <w:r>
        <w:t>Aralık</w:t>
      </w:r>
      <w:r w:rsidRPr="009C3D5A">
        <w:t xml:space="preserve"> ayında imalat sanayi ürünlerinin toplam </w:t>
      </w:r>
      <w:r>
        <w:t>ihracatı içerisinde</w:t>
      </w:r>
      <w:r w:rsidRPr="009C3D5A">
        <w:t xml:space="preserve"> </w:t>
      </w:r>
      <w:r>
        <w:t>yüksek</w:t>
      </w:r>
      <w:r w:rsidRPr="009C3D5A">
        <w:t xml:space="preserve"> teknoloji</w:t>
      </w:r>
      <w:r>
        <w:t>li ürünlerin payı yüzde 4,3,</w:t>
      </w:r>
      <w:r w:rsidRPr="009C3D5A">
        <w:t xml:space="preserve"> orta </w:t>
      </w:r>
      <w:r>
        <w:t>yüksek</w:t>
      </w:r>
      <w:r w:rsidRPr="009C3D5A">
        <w:t xml:space="preserve"> teknoloji</w:t>
      </w:r>
      <w:r>
        <w:t>li</w:t>
      </w:r>
      <w:r w:rsidRPr="009C3D5A">
        <w:t xml:space="preserve"> ürünlerin payı ise yüzde </w:t>
      </w:r>
      <w:r>
        <w:t>36,4’tür</w:t>
      </w:r>
      <w:r w:rsidRPr="009C3D5A">
        <w:t>. İthalatta ise imalat sa</w:t>
      </w:r>
      <w:r>
        <w:t>nayi ürünleri içerisinde yüksek</w:t>
      </w:r>
      <w:r w:rsidRPr="009C3D5A">
        <w:t xml:space="preserve"> teknoloji</w:t>
      </w:r>
      <w:r>
        <w:t>li</w:t>
      </w:r>
      <w:r w:rsidRPr="009C3D5A">
        <w:t xml:space="preserve"> </w:t>
      </w:r>
      <w:r>
        <w:t>ürünlerinin payı yüzde 16,5</w:t>
      </w:r>
      <w:r w:rsidRPr="009C3D5A">
        <w:t xml:space="preserve"> olmuştur. Orta </w:t>
      </w:r>
      <w:r>
        <w:t>yüksek</w:t>
      </w:r>
      <w:r w:rsidRPr="009C3D5A">
        <w:t xml:space="preserve"> teknoloji</w:t>
      </w:r>
      <w:r>
        <w:t>li ürünlerin payı ise yüzde 44,3’tür.</w:t>
      </w:r>
      <w:r w:rsidRPr="00DD6AA5">
        <w:t xml:space="preserve"> </w:t>
      </w:r>
    </w:p>
    <w:p w:rsidR="000A1DB0" w:rsidRPr="00DD6AA5" w:rsidRDefault="000A1DB0" w:rsidP="000A1DB0"/>
    <w:p w:rsidR="000A1DB0" w:rsidRPr="00DD6AA5" w:rsidRDefault="000A1DB0" w:rsidP="000A1DB0"/>
    <w:tbl>
      <w:tblPr>
        <w:tblW w:w="4998"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699"/>
        <w:gridCol w:w="3933"/>
      </w:tblGrid>
      <w:tr w:rsidR="00DA6C0A" w:rsidRPr="003A1EE6" w:rsidTr="00744398">
        <w:trPr>
          <w:trHeight w:val="915"/>
        </w:trPr>
        <w:tc>
          <w:tcPr>
            <w:tcW w:w="5501" w:type="dxa"/>
            <w:vAlign w:val="center"/>
          </w:tcPr>
          <w:p w:rsidR="00DA6C0A" w:rsidRDefault="00DA6C0A" w:rsidP="00744398">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2019 Ocak</w:t>
            </w:r>
          </w:p>
          <w:p w:rsidR="00DA6C0A" w:rsidRPr="003A1EE6" w:rsidRDefault="00DA6C0A" w:rsidP="00744398">
            <w:pPr>
              <w:pStyle w:val="stbilgi"/>
              <w:jc w:val="right"/>
              <w:rPr>
                <w:rFonts w:ascii="Times New Roman" w:eastAsiaTheme="majorEastAsia" w:hAnsi="Times New Roman" w:cs="Times New Roman"/>
                <w:sz w:val="36"/>
                <w:szCs w:val="36"/>
              </w:rPr>
            </w:pPr>
            <w:r>
              <w:rPr>
                <w:rFonts w:asciiTheme="majorHAnsi" w:eastAsiaTheme="majorEastAsia" w:hAnsiTheme="majorHAnsi" w:cstheme="majorBidi"/>
                <w:sz w:val="36"/>
                <w:szCs w:val="36"/>
              </w:rPr>
              <w:t>SEKTÖREL GÜVEN ENDEKSLERİ</w:t>
            </w:r>
          </w:p>
        </w:tc>
        <w:tc>
          <w:tcPr>
            <w:tcW w:w="3797" w:type="dxa"/>
          </w:tcPr>
          <w:p w:rsidR="00DA6C0A" w:rsidRPr="003A1EE6" w:rsidRDefault="00DA6C0A" w:rsidP="00744398">
            <w:pPr>
              <w:pStyle w:val="stbilgi"/>
              <w:spacing w:line="276" w:lineRule="auto"/>
              <w:jc w:val="center"/>
              <w:rPr>
                <w:rFonts w:ascii="Times New Roman" w:eastAsiaTheme="majorEastAsia" w:hAnsi="Times New Roman" w:cs="Times New Roman"/>
                <w:b/>
                <w:bCs/>
                <w:color w:val="4F81BD" w:themeColor="accent1"/>
                <w:sz w:val="36"/>
                <w:szCs w:val="36"/>
              </w:rPr>
            </w:pPr>
            <w:r w:rsidRPr="003A1EE6">
              <w:rPr>
                <w:rFonts w:ascii="Times New Roman" w:eastAsiaTheme="majorEastAsia" w:hAnsi="Times New Roman" w:cs="Times New Roman"/>
                <w:bCs/>
                <w:sz w:val="24"/>
                <w:szCs w:val="36"/>
              </w:rPr>
              <w:t xml:space="preserve">25 Ocak 2019  </w:t>
            </w:r>
            <w:r w:rsidRPr="003A1EE6">
              <w:rPr>
                <w:rFonts w:ascii="Times New Roman" w:eastAsiaTheme="majorEastAsia" w:hAnsi="Times New Roman" w:cs="Times New Roman"/>
                <w:bCs/>
                <w:sz w:val="28"/>
                <w:szCs w:val="36"/>
              </w:rPr>
              <w:t xml:space="preserve">              </w:t>
            </w:r>
          </w:p>
        </w:tc>
      </w:tr>
    </w:tbl>
    <w:p w:rsidR="00DA6C0A" w:rsidRPr="003A1EE6" w:rsidRDefault="00DA6C0A" w:rsidP="00DA6C0A">
      <w:pPr>
        <w:rPr>
          <w:rFonts w:ascii="Times New Roman" w:hAnsi="Times New Roman" w:cs="Times New Roman"/>
        </w:rPr>
      </w:pPr>
    </w:p>
    <w:p w:rsidR="00DA6C0A" w:rsidRPr="003A1EE6" w:rsidRDefault="00DA6C0A" w:rsidP="00DA6C0A">
      <w:pPr>
        <w:jc w:val="both"/>
        <w:rPr>
          <w:rFonts w:ascii="Times New Roman" w:hAnsi="Times New Roman" w:cs="Times New Roman"/>
          <w:b/>
        </w:rPr>
      </w:pPr>
      <w:r w:rsidRPr="003A1EE6">
        <w:rPr>
          <w:rFonts w:ascii="Times New Roman" w:hAnsi="Times New Roman" w:cs="Times New Roman"/>
          <w:b/>
        </w:rPr>
        <w:t xml:space="preserve">Ocak ayı </w:t>
      </w:r>
      <w:r w:rsidRPr="003A1EE6">
        <w:rPr>
          <w:rFonts w:ascii="Times New Roman" w:eastAsia="Times New Roman" w:hAnsi="Times New Roman" w:cs="Times New Roman"/>
          <w:b/>
          <w:bCs/>
        </w:rPr>
        <w:t xml:space="preserve">inşaat ve hizmet sektörü güven endeksleri </w:t>
      </w:r>
      <w:r w:rsidRPr="003A1EE6">
        <w:rPr>
          <w:rFonts w:ascii="Times New Roman" w:hAnsi="Times New Roman" w:cs="Times New Roman"/>
          <w:b/>
        </w:rPr>
        <w:t xml:space="preserve">TÜİK tarafından 25 Ocak 2019 tarihinde yayımlandı. </w:t>
      </w:r>
    </w:p>
    <w:p w:rsidR="00DA6C0A" w:rsidRPr="003A1EE6" w:rsidRDefault="00DA6C0A" w:rsidP="00DA6C0A">
      <w:pPr>
        <w:pStyle w:val="Balk2"/>
        <w:rPr>
          <w:rFonts w:ascii="Times New Roman" w:hAnsi="Times New Roman" w:cs="Times New Roman"/>
        </w:rPr>
      </w:pPr>
      <w:r w:rsidRPr="003A1EE6">
        <w:rPr>
          <w:rFonts w:ascii="Times New Roman" w:hAnsi="Times New Roman" w:cs="Times New Roman"/>
        </w:rPr>
        <w:t>İnşaat sektörü güven endeksi</w:t>
      </w:r>
    </w:p>
    <w:p w:rsidR="00DA6C0A" w:rsidRPr="003A1EE6" w:rsidRDefault="00DA6C0A" w:rsidP="00DA6C0A">
      <w:pPr>
        <w:jc w:val="both"/>
        <w:rPr>
          <w:rFonts w:ascii="Times New Roman" w:hAnsi="Times New Roman" w:cs="Times New Roman"/>
        </w:rPr>
      </w:pPr>
      <w:r w:rsidRPr="003A1EE6">
        <w:rPr>
          <w:rFonts w:ascii="Times New Roman" w:hAnsi="Times New Roman" w:cs="Times New Roman"/>
        </w:rPr>
        <w:t>2018 yılı Aralık ayında 55,4 olan mevsim etkilerinden arındırılmış inşaat sektörü güven endeksi, 2019 yılı Ocak ayında 1,4 puan artarak 56,7 değerine yükselmiştir. Bir önceki yılın aynı dönemine göre ise 87,0 puan olan inşaat sektörü güven endeksi 30,3 puan azalarak yüzde 34,8 oranında düşmüştür.</w:t>
      </w:r>
    </w:p>
    <w:p w:rsidR="00DA6C0A" w:rsidRPr="003A1EE6" w:rsidRDefault="00DA6C0A" w:rsidP="00DA6C0A">
      <w:pPr>
        <w:jc w:val="both"/>
        <w:rPr>
          <w:rFonts w:ascii="Times New Roman" w:hAnsi="Times New Roman" w:cs="Times New Roman"/>
        </w:rPr>
      </w:pPr>
      <w:r w:rsidRPr="003A1EE6">
        <w:rPr>
          <w:rFonts w:ascii="Times New Roman" w:hAnsi="Times New Roman" w:cs="Times New Roman"/>
        </w:rPr>
        <w:t>Mevsimlikten arındırılmamış inşaat sektörü güven endeksine bakıldığında ise 2019 yılı Ocak ayında bir önceki aya göre 7,8 puan artarak 54,0 puana yükseldiği görülmektedir. 2018 Ocak ayı verilerine göre incelendiğinde ise, yüzde 36,2</w:t>
      </w:r>
      <w:r w:rsidRPr="003A1EE6">
        <w:rPr>
          <w:rFonts w:ascii="Times New Roman" w:eastAsia="Times New Roman" w:hAnsi="Times New Roman" w:cs="Times New Roman"/>
          <w:color w:val="000000"/>
        </w:rPr>
        <w:t xml:space="preserve"> oranında azaldığı gözlemlenmektedir.  </w:t>
      </w:r>
    </w:p>
    <w:p w:rsidR="00DA6C0A" w:rsidRPr="003A1EE6" w:rsidRDefault="00DA6C0A" w:rsidP="00DA6C0A">
      <w:pPr>
        <w:pStyle w:val="ResimYazs"/>
        <w:keepNext/>
        <w:rPr>
          <w:rFonts w:ascii="Times New Roman" w:hAnsi="Times New Roman" w:cs="Times New Roman"/>
          <w:sz w:val="22"/>
          <w:szCs w:val="22"/>
        </w:rPr>
      </w:pPr>
      <w:r w:rsidRPr="003A1EE6">
        <w:rPr>
          <w:rFonts w:ascii="Times New Roman" w:hAnsi="Times New Roman" w:cs="Times New Roman"/>
          <w:sz w:val="22"/>
          <w:szCs w:val="22"/>
        </w:rPr>
        <w:lastRenderedPageBreak/>
        <w:t xml:space="preserve">Şekil </w:t>
      </w:r>
      <w:r w:rsidRPr="003A1EE6">
        <w:rPr>
          <w:rFonts w:ascii="Times New Roman" w:hAnsi="Times New Roman" w:cs="Times New Roman"/>
          <w:sz w:val="22"/>
          <w:szCs w:val="22"/>
        </w:rPr>
        <w:fldChar w:fldCharType="begin"/>
      </w:r>
      <w:r w:rsidRPr="003A1EE6">
        <w:rPr>
          <w:rFonts w:ascii="Times New Roman" w:hAnsi="Times New Roman" w:cs="Times New Roman"/>
          <w:sz w:val="22"/>
          <w:szCs w:val="22"/>
        </w:rPr>
        <w:instrText xml:space="preserve"> SEQ Şekil \* ARABIC </w:instrText>
      </w:r>
      <w:r w:rsidRPr="003A1EE6">
        <w:rPr>
          <w:rFonts w:ascii="Times New Roman" w:hAnsi="Times New Roman" w:cs="Times New Roman"/>
          <w:sz w:val="22"/>
          <w:szCs w:val="22"/>
        </w:rPr>
        <w:fldChar w:fldCharType="separate"/>
      </w:r>
      <w:r w:rsidRPr="003A1EE6">
        <w:rPr>
          <w:rFonts w:ascii="Times New Roman" w:hAnsi="Times New Roman" w:cs="Times New Roman"/>
          <w:noProof/>
          <w:sz w:val="22"/>
          <w:szCs w:val="22"/>
        </w:rPr>
        <w:t>1</w:t>
      </w:r>
      <w:r w:rsidRPr="003A1EE6">
        <w:rPr>
          <w:rFonts w:ascii="Times New Roman" w:hAnsi="Times New Roman" w:cs="Times New Roman"/>
          <w:sz w:val="22"/>
          <w:szCs w:val="22"/>
        </w:rPr>
        <w:fldChar w:fldCharType="end"/>
      </w:r>
      <w:r w:rsidRPr="003A1EE6">
        <w:rPr>
          <w:rFonts w:ascii="Times New Roman" w:hAnsi="Times New Roman" w:cs="Times New Roman"/>
          <w:sz w:val="22"/>
          <w:szCs w:val="22"/>
        </w:rPr>
        <w:t>: İnşaat Sektörü Güven Endeksi (Ocak 2018 – Ocak 2019)</w:t>
      </w:r>
    </w:p>
    <w:p w:rsidR="00DA6C0A" w:rsidRPr="003A1EE6" w:rsidRDefault="00DA6C0A" w:rsidP="00DA6C0A">
      <w:pPr>
        <w:rPr>
          <w:rFonts w:ascii="Times New Roman" w:hAnsi="Times New Roman" w:cs="Times New Roman"/>
        </w:rPr>
      </w:pPr>
      <w:r w:rsidRPr="0074523B">
        <w:rPr>
          <w:noProof/>
          <w:lang w:eastAsia="tr-TR"/>
        </w:rPr>
        <w:drawing>
          <wp:inline distT="0" distB="0" distL="0" distR="0" wp14:anchorId="70A442AB" wp14:editId="689E9A2C">
            <wp:extent cx="5760720" cy="24097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409750"/>
                    </a:xfrm>
                    <a:prstGeom prst="rect">
                      <a:avLst/>
                    </a:prstGeom>
                    <a:noFill/>
                    <a:ln>
                      <a:noFill/>
                    </a:ln>
                  </pic:spPr>
                </pic:pic>
              </a:graphicData>
            </a:graphic>
          </wp:inline>
        </w:drawing>
      </w:r>
    </w:p>
    <w:p w:rsidR="00DA6C0A" w:rsidRPr="003A1EE6" w:rsidRDefault="00DA6C0A" w:rsidP="00DA6C0A">
      <w:pPr>
        <w:jc w:val="both"/>
        <w:rPr>
          <w:rFonts w:ascii="Times New Roman" w:hAnsi="Times New Roman" w:cs="Times New Roman"/>
        </w:rPr>
      </w:pPr>
      <w:r w:rsidRPr="003A1EE6">
        <w:rPr>
          <w:rFonts w:ascii="Times New Roman" w:hAnsi="Times New Roman" w:cs="Times New Roman"/>
        </w:rPr>
        <w:t xml:space="preserve">Mevsimlikten arındırılmış inşaat sektörü güven endeksini oluşturan alt kalemlere bakıldığında, Aralık 2018’de 39,3 puan olan alınan siparişlerin mevcut düzeyinin, Ocak 2019’da 7,1 puan arttığı ve 46,4 puan olduğu gözlemlenmektedir (Tablo 1). Gelecek 3 aylık dönem için toplam çalışan sayısı beklentisi ise, Aralık 2018’de 71,5 puan iken, Ocak 2019’da yüzde 6,2 oranında düşerek 67,1 puan olmuştur. </w:t>
      </w:r>
    </w:p>
    <w:p w:rsidR="00DA6C0A" w:rsidRPr="003A1EE6" w:rsidRDefault="00DA6C0A" w:rsidP="00DA6C0A">
      <w:pPr>
        <w:pStyle w:val="ResimYazs"/>
        <w:keepNext/>
        <w:rPr>
          <w:rFonts w:ascii="Times New Roman" w:hAnsi="Times New Roman" w:cs="Times New Roman"/>
          <w:sz w:val="22"/>
        </w:rPr>
      </w:pPr>
      <w:r w:rsidRPr="003A1EE6">
        <w:rPr>
          <w:rFonts w:ascii="Times New Roman" w:hAnsi="Times New Roman" w:cs="Times New Roman"/>
          <w:sz w:val="22"/>
        </w:rPr>
        <w:t xml:space="preserve">Tablo </w:t>
      </w:r>
      <w:r w:rsidRPr="003A1EE6">
        <w:rPr>
          <w:rFonts w:ascii="Times New Roman" w:hAnsi="Times New Roman" w:cs="Times New Roman"/>
          <w:sz w:val="22"/>
        </w:rPr>
        <w:fldChar w:fldCharType="begin"/>
      </w:r>
      <w:r w:rsidRPr="003A1EE6">
        <w:rPr>
          <w:rFonts w:ascii="Times New Roman" w:hAnsi="Times New Roman" w:cs="Times New Roman"/>
          <w:sz w:val="22"/>
        </w:rPr>
        <w:instrText xml:space="preserve"> SEQ Tablo \* ARABIC </w:instrText>
      </w:r>
      <w:r w:rsidRPr="003A1EE6">
        <w:rPr>
          <w:rFonts w:ascii="Times New Roman" w:hAnsi="Times New Roman" w:cs="Times New Roman"/>
          <w:sz w:val="22"/>
        </w:rPr>
        <w:fldChar w:fldCharType="separate"/>
      </w:r>
      <w:r w:rsidRPr="003A1EE6">
        <w:rPr>
          <w:rFonts w:ascii="Times New Roman" w:hAnsi="Times New Roman" w:cs="Times New Roman"/>
          <w:noProof/>
          <w:sz w:val="22"/>
        </w:rPr>
        <w:t>1</w:t>
      </w:r>
      <w:r w:rsidRPr="003A1EE6">
        <w:rPr>
          <w:rFonts w:ascii="Times New Roman" w:hAnsi="Times New Roman" w:cs="Times New Roman"/>
          <w:noProof/>
          <w:sz w:val="22"/>
        </w:rPr>
        <w:fldChar w:fldCharType="end"/>
      </w:r>
      <w:r w:rsidRPr="003A1EE6">
        <w:rPr>
          <w:rFonts w:ascii="Times New Roman" w:hAnsi="Times New Roman" w:cs="Times New Roman"/>
          <w:sz w:val="22"/>
        </w:rPr>
        <w:t>: İnşaat Sektörü Güven Endeksi Bileşenleri (Aralık 2018 – Ocak 2019)</w:t>
      </w:r>
    </w:p>
    <w:tbl>
      <w:tblPr>
        <w:tblStyle w:val="AkGlgeleme-Vurgu11"/>
        <w:tblW w:w="9442" w:type="dxa"/>
        <w:tblLook w:val="04A0" w:firstRow="1" w:lastRow="0" w:firstColumn="1" w:lastColumn="0" w:noHBand="0" w:noVBand="1"/>
      </w:tblPr>
      <w:tblGrid>
        <w:gridCol w:w="6890"/>
        <w:gridCol w:w="1224"/>
        <w:gridCol w:w="1328"/>
      </w:tblGrid>
      <w:tr w:rsidR="00DA6C0A" w:rsidRPr="003A1EE6" w:rsidTr="00744398">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890" w:type="dxa"/>
            <w:noWrap/>
            <w:hideMark/>
          </w:tcPr>
          <w:p w:rsidR="00DA6C0A" w:rsidRPr="003A1EE6" w:rsidRDefault="00DA6C0A" w:rsidP="00744398">
            <w:pPr>
              <w:rPr>
                <w:rFonts w:ascii="Times New Roman" w:eastAsia="Times New Roman" w:hAnsi="Times New Roman" w:cs="Times New Roman"/>
                <w:color w:val="000000"/>
              </w:rPr>
            </w:pPr>
          </w:p>
        </w:tc>
        <w:tc>
          <w:tcPr>
            <w:tcW w:w="2552" w:type="dxa"/>
            <w:gridSpan w:val="2"/>
            <w:noWrap/>
            <w:hideMark/>
          </w:tcPr>
          <w:p w:rsidR="00DA6C0A" w:rsidRPr="003A1EE6" w:rsidRDefault="00DA6C0A" w:rsidP="0074439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A1EE6">
              <w:rPr>
                <w:rFonts w:ascii="Times New Roman" w:eastAsia="Times New Roman" w:hAnsi="Times New Roman" w:cs="Times New Roman"/>
                <w:color w:val="000000"/>
              </w:rPr>
              <w:t>Endeks</w:t>
            </w:r>
          </w:p>
        </w:tc>
      </w:tr>
      <w:tr w:rsidR="00DA6C0A" w:rsidRPr="003A1EE6" w:rsidTr="00744398">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890" w:type="dxa"/>
            <w:noWrap/>
            <w:hideMark/>
          </w:tcPr>
          <w:p w:rsidR="00DA6C0A" w:rsidRPr="003A1EE6" w:rsidRDefault="00DA6C0A" w:rsidP="00744398">
            <w:pPr>
              <w:rPr>
                <w:rFonts w:ascii="Times New Roman" w:eastAsia="Times New Roman" w:hAnsi="Times New Roman" w:cs="Times New Roman"/>
                <w:color w:val="000000"/>
              </w:rPr>
            </w:pPr>
          </w:p>
        </w:tc>
        <w:tc>
          <w:tcPr>
            <w:tcW w:w="1224" w:type="dxa"/>
            <w:noWrap/>
          </w:tcPr>
          <w:p w:rsidR="00DA6C0A" w:rsidRPr="003A1EE6" w:rsidRDefault="00DA6C0A" w:rsidP="007443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A1EE6">
              <w:rPr>
                <w:rFonts w:ascii="Times New Roman" w:eastAsia="Times New Roman" w:hAnsi="Times New Roman" w:cs="Times New Roman"/>
                <w:b/>
                <w:color w:val="000000"/>
              </w:rPr>
              <w:t>Ara.18</w:t>
            </w:r>
          </w:p>
        </w:tc>
        <w:tc>
          <w:tcPr>
            <w:tcW w:w="1328" w:type="dxa"/>
            <w:noWrap/>
          </w:tcPr>
          <w:p w:rsidR="00DA6C0A" w:rsidRPr="003A1EE6" w:rsidRDefault="00DA6C0A" w:rsidP="007443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A1EE6">
              <w:rPr>
                <w:rFonts w:ascii="Times New Roman" w:eastAsia="Times New Roman" w:hAnsi="Times New Roman" w:cs="Times New Roman"/>
                <w:b/>
                <w:color w:val="000000"/>
              </w:rPr>
              <w:t>Oca.19</w:t>
            </w:r>
          </w:p>
        </w:tc>
      </w:tr>
      <w:tr w:rsidR="00DA6C0A" w:rsidRPr="003A1EE6" w:rsidTr="00744398">
        <w:trPr>
          <w:trHeight w:val="494"/>
        </w:trPr>
        <w:tc>
          <w:tcPr>
            <w:cnfStyle w:val="001000000000" w:firstRow="0" w:lastRow="0" w:firstColumn="1" w:lastColumn="0" w:oddVBand="0" w:evenVBand="0" w:oddHBand="0" w:evenHBand="0" w:firstRowFirstColumn="0" w:firstRowLastColumn="0" w:lastRowFirstColumn="0" w:lastRowLastColumn="0"/>
            <w:tcW w:w="6890" w:type="dxa"/>
            <w:vAlign w:val="center"/>
            <w:hideMark/>
          </w:tcPr>
          <w:p w:rsidR="00DA6C0A" w:rsidRPr="003A1EE6" w:rsidRDefault="00DA6C0A" w:rsidP="00744398">
            <w:pPr>
              <w:rPr>
                <w:rFonts w:ascii="Times New Roman" w:eastAsia="Times New Roman" w:hAnsi="Times New Roman" w:cs="Times New Roman"/>
                <w:color w:val="000000"/>
              </w:rPr>
            </w:pPr>
            <w:r w:rsidRPr="003A1EE6">
              <w:rPr>
                <w:rFonts w:ascii="Times New Roman" w:eastAsia="Times New Roman" w:hAnsi="Times New Roman" w:cs="Times New Roman"/>
                <w:color w:val="000000"/>
              </w:rPr>
              <w:t>İnşaat Sektörü Güven Endeksi</w:t>
            </w:r>
          </w:p>
        </w:tc>
        <w:tc>
          <w:tcPr>
            <w:tcW w:w="1224" w:type="dxa"/>
            <w:noWrap/>
            <w:vAlign w:val="center"/>
          </w:tcPr>
          <w:p w:rsidR="00DA6C0A" w:rsidRPr="003A1EE6" w:rsidRDefault="00DA6C0A" w:rsidP="007443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3A1EE6">
              <w:rPr>
                <w:rFonts w:ascii="Times New Roman" w:eastAsia="Times New Roman" w:hAnsi="Times New Roman" w:cs="Times New Roman"/>
                <w:b/>
                <w:color w:val="000000"/>
              </w:rPr>
              <w:t>55,4</w:t>
            </w:r>
          </w:p>
        </w:tc>
        <w:tc>
          <w:tcPr>
            <w:tcW w:w="1328" w:type="dxa"/>
            <w:noWrap/>
            <w:vAlign w:val="center"/>
          </w:tcPr>
          <w:p w:rsidR="00DA6C0A" w:rsidRPr="003A1EE6" w:rsidRDefault="00DA6C0A" w:rsidP="007443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3A1EE6">
              <w:rPr>
                <w:rFonts w:ascii="Times New Roman" w:eastAsia="Times New Roman" w:hAnsi="Times New Roman" w:cs="Times New Roman"/>
                <w:b/>
                <w:color w:val="000000"/>
              </w:rPr>
              <w:t>56,7</w:t>
            </w:r>
          </w:p>
        </w:tc>
      </w:tr>
      <w:tr w:rsidR="00DA6C0A" w:rsidRPr="003A1EE6" w:rsidTr="00744398">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6890" w:type="dxa"/>
            <w:vAlign w:val="center"/>
            <w:hideMark/>
          </w:tcPr>
          <w:p w:rsidR="00DA6C0A" w:rsidRPr="003A1EE6" w:rsidRDefault="00DA6C0A" w:rsidP="00744398">
            <w:pPr>
              <w:rPr>
                <w:rFonts w:ascii="Times New Roman" w:eastAsia="Times New Roman" w:hAnsi="Times New Roman" w:cs="Times New Roman"/>
                <w:b w:val="0"/>
                <w:color w:val="000000"/>
              </w:rPr>
            </w:pPr>
            <w:r w:rsidRPr="003A1EE6">
              <w:rPr>
                <w:rFonts w:ascii="Times New Roman" w:eastAsia="Times New Roman" w:hAnsi="Times New Roman" w:cs="Times New Roman"/>
                <w:b w:val="0"/>
                <w:color w:val="000000"/>
              </w:rPr>
              <w:t>Alınan kayıtlı siparişlerin mevcut düzeyi</w:t>
            </w:r>
          </w:p>
        </w:tc>
        <w:tc>
          <w:tcPr>
            <w:tcW w:w="1224" w:type="dxa"/>
            <w:noWrap/>
            <w:vAlign w:val="center"/>
          </w:tcPr>
          <w:p w:rsidR="00DA6C0A" w:rsidRPr="003A1EE6" w:rsidRDefault="00DA6C0A" w:rsidP="007443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A1EE6">
              <w:rPr>
                <w:rFonts w:ascii="Times New Roman" w:eastAsia="Times New Roman" w:hAnsi="Times New Roman" w:cs="Times New Roman"/>
                <w:color w:val="000000"/>
              </w:rPr>
              <w:t>39,3</w:t>
            </w:r>
          </w:p>
        </w:tc>
        <w:tc>
          <w:tcPr>
            <w:tcW w:w="1328" w:type="dxa"/>
            <w:noWrap/>
            <w:vAlign w:val="center"/>
          </w:tcPr>
          <w:p w:rsidR="00DA6C0A" w:rsidRPr="003A1EE6" w:rsidRDefault="00DA6C0A" w:rsidP="007443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A1EE6">
              <w:rPr>
                <w:rFonts w:ascii="Times New Roman" w:eastAsia="Times New Roman" w:hAnsi="Times New Roman" w:cs="Times New Roman"/>
                <w:color w:val="000000"/>
              </w:rPr>
              <w:t>46,4</w:t>
            </w:r>
          </w:p>
        </w:tc>
      </w:tr>
      <w:tr w:rsidR="00DA6C0A" w:rsidRPr="003A1EE6" w:rsidTr="00744398">
        <w:trPr>
          <w:trHeight w:val="669"/>
        </w:trPr>
        <w:tc>
          <w:tcPr>
            <w:cnfStyle w:val="001000000000" w:firstRow="0" w:lastRow="0" w:firstColumn="1" w:lastColumn="0" w:oddVBand="0" w:evenVBand="0" w:oddHBand="0" w:evenHBand="0" w:firstRowFirstColumn="0" w:firstRowLastColumn="0" w:lastRowFirstColumn="0" w:lastRowLastColumn="0"/>
            <w:tcW w:w="6890" w:type="dxa"/>
            <w:noWrap/>
            <w:vAlign w:val="center"/>
            <w:hideMark/>
          </w:tcPr>
          <w:p w:rsidR="00DA6C0A" w:rsidRPr="003A1EE6" w:rsidRDefault="00DA6C0A" w:rsidP="00744398">
            <w:pPr>
              <w:rPr>
                <w:rFonts w:ascii="Times New Roman" w:eastAsia="Times New Roman" w:hAnsi="Times New Roman" w:cs="Times New Roman"/>
                <w:b w:val="0"/>
                <w:color w:val="000000"/>
              </w:rPr>
            </w:pPr>
            <w:r w:rsidRPr="003A1EE6">
              <w:rPr>
                <w:rFonts w:ascii="Times New Roman" w:eastAsia="Times New Roman" w:hAnsi="Times New Roman" w:cs="Times New Roman"/>
                <w:b w:val="0"/>
                <w:color w:val="000000"/>
              </w:rPr>
              <w:t>Toplam çalışan sayısı beklentisi (gelecek 3 aylık dönemde)</w:t>
            </w:r>
          </w:p>
        </w:tc>
        <w:tc>
          <w:tcPr>
            <w:tcW w:w="1224" w:type="dxa"/>
            <w:noWrap/>
            <w:vAlign w:val="center"/>
          </w:tcPr>
          <w:p w:rsidR="00DA6C0A" w:rsidRPr="003A1EE6" w:rsidRDefault="00DA6C0A" w:rsidP="007443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A1EE6">
              <w:rPr>
                <w:rFonts w:ascii="Times New Roman" w:eastAsia="Times New Roman" w:hAnsi="Times New Roman" w:cs="Times New Roman"/>
                <w:color w:val="000000"/>
              </w:rPr>
              <w:t>71,5</w:t>
            </w:r>
          </w:p>
        </w:tc>
        <w:tc>
          <w:tcPr>
            <w:tcW w:w="1328" w:type="dxa"/>
            <w:noWrap/>
            <w:vAlign w:val="center"/>
          </w:tcPr>
          <w:p w:rsidR="00DA6C0A" w:rsidRPr="003A1EE6" w:rsidRDefault="00DA6C0A" w:rsidP="007443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A1EE6">
              <w:rPr>
                <w:rFonts w:ascii="Times New Roman" w:eastAsia="Times New Roman" w:hAnsi="Times New Roman" w:cs="Times New Roman"/>
                <w:color w:val="000000"/>
              </w:rPr>
              <w:t>67,1</w:t>
            </w:r>
          </w:p>
        </w:tc>
      </w:tr>
    </w:tbl>
    <w:p w:rsidR="00DA6C0A" w:rsidRPr="003A1EE6" w:rsidRDefault="00DA6C0A" w:rsidP="00DA6C0A">
      <w:pPr>
        <w:pStyle w:val="Balk2"/>
        <w:rPr>
          <w:rFonts w:ascii="Times New Roman" w:hAnsi="Times New Roman" w:cs="Times New Roman"/>
        </w:rPr>
      </w:pPr>
    </w:p>
    <w:p w:rsidR="00DA6C0A" w:rsidRPr="003A1EE6" w:rsidRDefault="00DA6C0A" w:rsidP="00DA6C0A">
      <w:pPr>
        <w:pStyle w:val="Balk2"/>
        <w:rPr>
          <w:rFonts w:ascii="Times New Roman" w:hAnsi="Times New Roman" w:cs="Times New Roman"/>
        </w:rPr>
      </w:pPr>
      <w:r w:rsidRPr="003A1EE6">
        <w:rPr>
          <w:rFonts w:ascii="Times New Roman" w:hAnsi="Times New Roman" w:cs="Times New Roman"/>
        </w:rPr>
        <w:t>Hizmet sektörü güven endeksi</w:t>
      </w:r>
    </w:p>
    <w:p w:rsidR="00DA6C0A" w:rsidRPr="003A1EE6" w:rsidRDefault="00DA6C0A" w:rsidP="00DA6C0A">
      <w:pPr>
        <w:jc w:val="both"/>
        <w:rPr>
          <w:rFonts w:ascii="Times New Roman" w:hAnsi="Times New Roman" w:cs="Times New Roman"/>
        </w:rPr>
      </w:pPr>
      <w:r w:rsidRPr="003A1EE6">
        <w:rPr>
          <w:rFonts w:ascii="Times New Roman" w:hAnsi="Times New Roman" w:cs="Times New Roman"/>
        </w:rPr>
        <w:t xml:space="preserve">2019 Ocak ayı mevsimlikten arındırılmış hizmet sektörü güven endeksi incelendiğinde (Şekil 2), 2018 yılı Ocak ayına göre yüzde 23,2 oranında azalış gösterdiği (23,7 puan) ve 78,3 puana düştüğü göze çarpmaktadır. 2018 yılı Aralık ayına göre bakıldığında ise yüzde 4,0 oranında düştüğü (3,2 puan) görülmektedir. </w:t>
      </w:r>
    </w:p>
    <w:p w:rsidR="00DA6C0A" w:rsidRPr="003A1EE6" w:rsidRDefault="00DA6C0A" w:rsidP="00DA6C0A">
      <w:pPr>
        <w:jc w:val="both"/>
        <w:rPr>
          <w:rFonts w:ascii="Times New Roman" w:hAnsi="Times New Roman" w:cs="Times New Roman"/>
        </w:rPr>
      </w:pPr>
      <w:r w:rsidRPr="003A1EE6">
        <w:rPr>
          <w:rFonts w:ascii="Times New Roman" w:hAnsi="Times New Roman" w:cs="Times New Roman"/>
        </w:rPr>
        <w:t>Mevsimlikten arındırılmamış endeks ise, 2018 yılının Aralık ayına göre yüzde 2,3 oranında düşerek (1,7 puan) 68,9 olurken, 2018 yılı Ocak ayına göre yüzde 25,0 oranında (23,0 puan) azalmıştır.</w:t>
      </w:r>
    </w:p>
    <w:p w:rsidR="00DA6C0A" w:rsidRPr="003A1EE6" w:rsidRDefault="00DA6C0A" w:rsidP="00DA6C0A">
      <w:pPr>
        <w:pStyle w:val="ResimYazs"/>
        <w:keepNext/>
        <w:rPr>
          <w:rFonts w:ascii="Times New Roman" w:hAnsi="Times New Roman" w:cs="Times New Roman"/>
          <w:sz w:val="22"/>
          <w:szCs w:val="22"/>
        </w:rPr>
      </w:pPr>
      <w:r w:rsidRPr="003A1EE6">
        <w:rPr>
          <w:rFonts w:ascii="Times New Roman" w:hAnsi="Times New Roman" w:cs="Times New Roman"/>
          <w:sz w:val="22"/>
          <w:szCs w:val="22"/>
        </w:rPr>
        <w:lastRenderedPageBreak/>
        <w:t>Şekil 2: Hizmet Sektörü Güven Endeksi (Ocak 2018 – Ocak 2019)</w:t>
      </w:r>
    </w:p>
    <w:p w:rsidR="00DA6C0A" w:rsidRPr="003A1EE6" w:rsidRDefault="00DA6C0A" w:rsidP="00DA6C0A">
      <w:pPr>
        <w:rPr>
          <w:rFonts w:ascii="Times New Roman" w:hAnsi="Times New Roman" w:cs="Times New Roman"/>
        </w:rPr>
      </w:pPr>
      <w:r w:rsidRPr="00CE2765">
        <w:rPr>
          <w:noProof/>
          <w:lang w:eastAsia="tr-TR"/>
        </w:rPr>
        <w:drawing>
          <wp:inline distT="0" distB="0" distL="0" distR="0" wp14:anchorId="278D7429" wp14:editId="78AE0B21">
            <wp:extent cx="5760720" cy="24097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409750"/>
                    </a:xfrm>
                    <a:prstGeom prst="rect">
                      <a:avLst/>
                    </a:prstGeom>
                    <a:noFill/>
                    <a:ln>
                      <a:noFill/>
                    </a:ln>
                  </pic:spPr>
                </pic:pic>
              </a:graphicData>
            </a:graphic>
          </wp:inline>
        </w:drawing>
      </w:r>
    </w:p>
    <w:p w:rsidR="00DA6C0A" w:rsidRPr="003A1EE6" w:rsidRDefault="00DA6C0A" w:rsidP="00DA6C0A">
      <w:pPr>
        <w:jc w:val="both"/>
        <w:rPr>
          <w:rFonts w:ascii="Times New Roman" w:hAnsi="Times New Roman" w:cs="Times New Roman"/>
        </w:rPr>
      </w:pPr>
      <w:r w:rsidRPr="003A1EE6">
        <w:rPr>
          <w:rFonts w:ascii="Times New Roman" w:hAnsi="Times New Roman" w:cs="Times New Roman"/>
        </w:rPr>
        <w:t>Mevsim etkilerinden arındırılmış hizmet sektörü güven endeksinin oluştuğu alt kalemler incelendiğinde (Tablo 2), Aralık 2018’de 75,3 puan olan iş durumunun, Ocak 2019’da yüzde 5,6 oranında (4,2 puan) azalarak 71,1 puan olduğu görülmektedir. Hizmet sektörünün diğer bir alt kalemi olan hizmetlere olan talep Ocak 2019’de bir önceki aya göre 4,4 puan düşmüş ve 71,2 puan olmuştur. Aralık 2018’de 93,7 puan olan gelecek 3 aylık dönem için hizmetlere olan talep beklentisi ise, Ocak 2019’da yüzde 1,1 azalmış ve 92,7 puan olmuştur.</w:t>
      </w:r>
    </w:p>
    <w:p w:rsidR="00DA6C0A" w:rsidRPr="003A1EE6" w:rsidRDefault="00DA6C0A" w:rsidP="00DA6C0A">
      <w:pPr>
        <w:pStyle w:val="ResimYazs"/>
        <w:keepNext/>
        <w:rPr>
          <w:rFonts w:ascii="Times New Roman" w:hAnsi="Times New Roman" w:cs="Times New Roman"/>
          <w:sz w:val="22"/>
        </w:rPr>
      </w:pPr>
      <w:r w:rsidRPr="003A1EE6">
        <w:rPr>
          <w:rFonts w:ascii="Times New Roman" w:hAnsi="Times New Roman" w:cs="Times New Roman"/>
          <w:sz w:val="22"/>
        </w:rPr>
        <w:t xml:space="preserve">Tablo </w:t>
      </w:r>
      <w:r w:rsidRPr="003A1EE6">
        <w:rPr>
          <w:rFonts w:ascii="Times New Roman" w:hAnsi="Times New Roman" w:cs="Times New Roman"/>
          <w:sz w:val="22"/>
        </w:rPr>
        <w:fldChar w:fldCharType="begin"/>
      </w:r>
      <w:r w:rsidRPr="003A1EE6">
        <w:rPr>
          <w:rFonts w:ascii="Times New Roman" w:hAnsi="Times New Roman" w:cs="Times New Roman"/>
          <w:sz w:val="22"/>
        </w:rPr>
        <w:instrText xml:space="preserve"> SEQ Tablo \* ARABIC </w:instrText>
      </w:r>
      <w:r w:rsidRPr="003A1EE6">
        <w:rPr>
          <w:rFonts w:ascii="Times New Roman" w:hAnsi="Times New Roman" w:cs="Times New Roman"/>
          <w:sz w:val="22"/>
        </w:rPr>
        <w:fldChar w:fldCharType="separate"/>
      </w:r>
      <w:r w:rsidRPr="003A1EE6">
        <w:rPr>
          <w:rFonts w:ascii="Times New Roman" w:hAnsi="Times New Roman" w:cs="Times New Roman"/>
          <w:noProof/>
          <w:sz w:val="22"/>
        </w:rPr>
        <w:t>2</w:t>
      </w:r>
      <w:r w:rsidRPr="003A1EE6">
        <w:rPr>
          <w:rFonts w:ascii="Times New Roman" w:hAnsi="Times New Roman" w:cs="Times New Roman"/>
          <w:noProof/>
          <w:sz w:val="22"/>
        </w:rPr>
        <w:fldChar w:fldCharType="end"/>
      </w:r>
      <w:r w:rsidRPr="003A1EE6">
        <w:rPr>
          <w:rFonts w:ascii="Times New Roman" w:hAnsi="Times New Roman" w:cs="Times New Roman"/>
          <w:sz w:val="22"/>
        </w:rPr>
        <w:t>: Hizmet sektörü güven endeksi alt bileşenleri (Aralık 2018 – Ocak 2019)</w:t>
      </w:r>
    </w:p>
    <w:tbl>
      <w:tblPr>
        <w:tblStyle w:val="AkGlgeleme-Vurgu11"/>
        <w:tblW w:w="9026" w:type="dxa"/>
        <w:tblLook w:val="04A0" w:firstRow="1" w:lastRow="0" w:firstColumn="1" w:lastColumn="0" w:noHBand="0" w:noVBand="1"/>
      </w:tblPr>
      <w:tblGrid>
        <w:gridCol w:w="6416"/>
        <w:gridCol w:w="1252"/>
        <w:gridCol w:w="1358"/>
      </w:tblGrid>
      <w:tr w:rsidR="00DA6C0A" w:rsidRPr="003A1EE6" w:rsidTr="00744398">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416" w:type="dxa"/>
            <w:noWrap/>
            <w:hideMark/>
          </w:tcPr>
          <w:p w:rsidR="00DA6C0A" w:rsidRPr="003A1EE6" w:rsidRDefault="00DA6C0A" w:rsidP="00744398">
            <w:pPr>
              <w:rPr>
                <w:rFonts w:ascii="Times New Roman" w:eastAsia="Times New Roman" w:hAnsi="Times New Roman" w:cs="Times New Roman"/>
                <w:color w:val="000000"/>
              </w:rPr>
            </w:pPr>
          </w:p>
        </w:tc>
        <w:tc>
          <w:tcPr>
            <w:tcW w:w="2610" w:type="dxa"/>
            <w:gridSpan w:val="2"/>
            <w:noWrap/>
            <w:hideMark/>
          </w:tcPr>
          <w:p w:rsidR="00DA6C0A" w:rsidRPr="003A1EE6" w:rsidRDefault="00DA6C0A" w:rsidP="0074439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A1EE6">
              <w:rPr>
                <w:rFonts w:ascii="Times New Roman" w:eastAsia="Times New Roman" w:hAnsi="Times New Roman" w:cs="Times New Roman"/>
                <w:color w:val="000000"/>
              </w:rPr>
              <w:t>Endeks</w:t>
            </w:r>
          </w:p>
        </w:tc>
      </w:tr>
      <w:tr w:rsidR="00DA6C0A" w:rsidRPr="003A1EE6" w:rsidTr="0074439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416" w:type="dxa"/>
            <w:noWrap/>
            <w:hideMark/>
          </w:tcPr>
          <w:p w:rsidR="00DA6C0A" w:rsidRPr="003A1EE6" w:rsidRDefault="00DA6C0A" w:rsidP="00744398">
            <w:pPr>
              <w:rPr>
                <w:rFonts w:ascii="Times New Roman" w:eastAsia="Times New Roman" w:hAnsi="Times New Roman" w:cs="Times New Roman"/>
                <w:color w:val="000000"/>
              </w:rPr>
            </w:pPr>
          </w:p>
        </w:tc>
        <w:tc>
          <w:tcPr>
            <w:tcW w:w="1252" w:type="dxa"/>
            <w:noWrap/>
          </w:tcPr>
          <w:p w:rsidR="00DA6C0A" w:rsidRPr="003A1EE6" w:rsidRDefault="00DA6C0A" w:rsidP="007443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A1EE6">
              <w:rPr>
                <w:rFonts w:ascii="Times New Roman" w:eastAsia="Times New Roman" w:hAnsi="Times New Roman" w:cs="Times New Roman"/>
                <w:b/>
                <w:color w:val="000000"/>
              </w:rPr>
              <w:t>Ara. 18</w:t>
            </w:r>
          </w:p>
        </w:tc>
        <w:tc>
          <w:tcPr>
            <w:tcW w:w="1358" w:type="dxa"/>
            <w:noWrap/>
          </w:tcPr>
          <w:p w:rsidR="00DA6C0A" w:rsidRPr="003A1EE6" w:rsidRDefault="00DA6C0A" w:rsidP="007443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A1EE6">
              <w:rPr>
                <w:rFonts w:ascii="Times New Roman" w:eastAsia="Times New Roman" w:hAnsi="Times New Roman" w:cs="Times New Roman"/>
                <w:b/>
                <w:color w:val="000000"/>
              </w:rPr>
              <w:t>Oca. 19</w:t>
            </w:r>
          </w:p>
        </w:tc>
      </w:tr>
      <w:tr w:rsidR="00DA6C0A" w:rsidRPr="003A1EE6" w:rsidTr="00744398">
        <w:trPr>
          <w:trHeight w:val="485"/>
        </w:trPr>
        <w:tc>
          <w:tcPr>
            <w:cnfStyle w:val="001000000000" w:firstRow="0" w:lastRow="0" w:firstColumn="1" w:lastColumn="0" w:oddVBand="0" w:evenVBand="0" w:oddHBand="0" w:evenHBand="0" w:firstRowFirstColumn="0" w:firstRowLastColumn="0" w:lastRowFirstColumn="0" w:lastRowLastColumn="0"/>
            <w:tcW w:w="6416" w:type="dxa"/>
            <w:vAlign w:val="center"/>
            <w:hideMark/>
          </w:tcPr>
          <w:p w:rsidR="00DA6C0A" w:rsidRPr="003A1EE6" w:rsidRDefault="00DA6C0A" w:rsidP="00744398">
            <w:pPr>
              <w:rPr>
                <w:rFonts w:ascii="Times New Roman" w:eastAsia="Times New Roman" w:hAnsi="Times New Roman" w:cs="Times New Roman"/>
                <w:color w:val="000000"/>
              </w:rPr>
            </w:pPr>
            <w:r w:rsidRPr="003A1EE6">
              <w:rPr>
                <w:rFonts w:ascii="Times New Roman" w:eastAsia="Times New Roman" w:hAnsi="Times New Roman" w:cs="Times New Roman"/>
                <w:color w:val="000000"/>
              </w:rPr>
              <w:t>Hizmet Sektörü Güven Endeksi</w:t>
            </w:r>
          </w:p>
        </w:tc>
        <w:tc>
          <w:tcPr>
            <w:tcW w:w="1252" w:type="dxa"/>
            <w:noWrap/>
            <w:vAlign w:val="center"/>
          </w:tcPr>
          <w:p w:rsidR="00DA6C0A" w:rsidRPr="003A1EE6" w:rsidRDefault="00DA6C0A" w:rsidP="007443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3A1EE6">
              <w:rPr>
                <w:rFonts w:ascii="Times New Roman" w:eastAsia="Times New Roman" w:hAnsi="Times New Roman" w:cs="Times New Roman"/>
                <w:b/>
                <w:color w:val="000000"/>
              </w:rPr>
              <w:t>81,5</w:t>
            </w:r>
          </w:p>
        </w:tc>
        <w:tc>
          <w:tcPr>
            <w:tcW w:w="1358" w:type="dxa"/>
            <w:noWrap/>
            <w:vAlign w:val="center"/>
          </w:tcPr>
          <w:p w:rsidR="00DA6C0A" w:rsidRPr="003A1EE6" w:rsidRDefault="00DA6C0A" w:rsidP="007443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3A1EE6">
              <w:rPr>
                <w:rFonts w:ascii="Times New Roman" w:eastAsia="Times New Roman" w:hAnsi="Times New Roman" w:cs="Times New Roman"/>
                <w:b/>
                <w:color w:val="000000"/>
              </w:rPr>
              <w:t>78,3</w:t>
            </w:r>
          </w:p>
        </w:tc>
      </w:tr>
      <w:tr w:rsidR="00DA6C0A" w:rsidRPr="003A1EE6" w:rsidTr="0074439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6416" w:type="dxa"/>
            <w:vAlign w:val="center"/>
            <w:hideMark/>
          </w:tcPr>
          <w:p w:rsidR="00DA6C0A" w:rsidRPr="003A1EE6" w:rsidRDefault="00DA6C0A" w:rsidP="00744398">
            <w:pPr>
              <w:rPr>
                <w:rFonts w:ascii="Times New Roman" w:eastAsia="Times New Roman" w:hAnsi="Times New Roman" w:cs="Times New Roman"/>
                <w:b w:val="0"/>
                <w:color w:val="000000"/>
              </w:rPr>
            </w:pPr>
            <w:r w:rsidRPr="003A1EE6">
              <w:rPr>
                <w:rFonts w:ascii="Times New Roman" w:eastAsia="Times New Roman" w:hAnsi="Times New Roman" w:cs="Times New Roman"/>
                <w:b w:val="0"/>
                <w:color w:val="000000"/>
              </w:rPr>
              <w:t>İş Durumu (Son 3 aylık dönemde)</w:t>
            </w:r>
          </w:p>
        </w:tc>
        <w:tc>
          <w:tcPr>
            <w:tcW w:w="1252" w:type="dxa"/>
            <w:noWrap/>
            <w:vAlign w:val="center"/>
          </w:tcPr>
          <w:p w:rsidR="00DA6C0A" w:rsidRPr="003A1EE6" w:rsidRDefault="00DA6C0A" w:rsidP="007443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A1EE6">
              <w:rPr>
                <w:rFonts w:ascii="Times New Roman" w:eastAsia="Times New Roman" w:hAnsi="Times New Roman" w:cs="Times New Roman"/>
                <w:color w:val="000000"/>
              </w:rPr>
              <w:t>75,3</w:t>
            </w:r>
          </w:p>
        </w:tc>
        <w:tc>
          <w:tcPr>
            <w:tcW w:w="1358" w:type="dxa"/>
            <w:noWrap/>
            <w:vAlign w:val="center"/>
          </w:tcPr>
          <w:p w:rsidR="00DA6C0A" w:rsidRPr="003A1EE6" w:rsidRDefault="00DA6C0A" w:rsidP="007443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A1EE6">
              <w:rPr>
                <w:rFonts w:ascii="Times New Roman" w:eastAsia="Times New Roman" w:hAnsi="Times New Roman" w:cs="Times New Roman"/>
                <w:color w:val="000000"/>
              </w:rPr>
              <w:t>71,1</w:t>
            </w:r>
          </w:p>
        </w:tc>
      </w:tr>
      <w:tr w:rsidR="00DA6C0A" w:rsidRPr="003A1EE6" w:rsidTr="00744398">
        <w:trPr>
          <w:trHeight w:val="657"/>
        </w:trPr>
        <w:tc>
          <w:tcPr>
            <w:cnfStyle w:val="001000000000" w:firstRow="0" w:lastRow="0" w:firstColumn="1" w:lastColumn="0" w:oddVBand="0" w:evenVBand="0" w:oddHBand="0" w:evenHBand="0" w:firstRowFirstColumn="0" w:firstRowLastColumn="0" w:lastRowFirstColumn="0" w:lastRowLastColumn="0"/>
            <w:tcW w:w="6416" w:type="dxa"/>
            <w:noWrap/>
            <w:vAlign w:val="center"/>
            <w:hideMark/>
          </w:tcPr>
          <w:p w:rsidR="00DA6C0A" w:rsidRPr="003A1EE6" w:rsidRDefault="00DA6C0A" w:rsidP="00744398">
            <w:pPr>
              <w:rPr>
                <w:rFonts w:ascii="Times New Roman" w:eastAsia="Times New Roman" w:hAnsi="Times New Roman" w:cs="Times New Roman"/>
                <w:b w:val="0"/>
                <w:color w:val="000000"/>
              </w:rPr>
            </w:pPr>
            <w:r w:rsidRPr="003A1EE6">
              <w:rPr>
                <w:rFonts w:ascii="Times New Roman" w:eastAsia="Times New Roman" w:hAnsi="Times New Roman" w:cs="Times New Roman"/>
                <w:b w:val="0"/>
                <w:color w:val="000000"/>
              </w:rPr>
              <w:t>Hizmetlere olan talep (son 3 aylık dönemde)</w:t>
            </w:r>
          </w:p>
        </w:tc>
        <w:tc>
          <w:tcPr>
            <w:tcW w:w="1252" w:type="dxa"/>
            <w:noWrap/>
            <w:vAlign w:val="center"/>
          </w:tcPr>
          <w:p w:rsidR="00DA6C0A" w:rsidRPr="003A1EE6" w:rsidRDefault="00DA6C0A" w:rsidP="007443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A1EE6">
              <w:rPr>
                <w:rFonts w:ascii="Times New Roman" w:eastAsia="Times New Roman" w:hAnsi="Times New Roman" w:cs="Times New Roman"/>
                <w:color w:val="000000"/>
              </w:rPr>
              <w:t>75,6</w:t>
            </w:r>
          </w:p>
        </w:tc>
        <w:tc>
          <w:tcPr>
            <w:tcW w:w="1358" w:type="dxa"/>
            <w:noWrap/>
            <w:vAlign w:val="center"/>
          </w:tcPr>
          <w:p w:rsidR="00DA6C0A" w:rsidRPr="003A1EE6" w:rsidRDefault="00DA6C0A" w:rsidP="007443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A1EE6">
              <w:rPr>
                <w:rFonts w:ascii="Times New Roman" w:eastAsia="Times New Roman" w:hAnsi="Times New Roman" w:cs="Times New Roman"/>
                <w:color w:val="000000"/>
              </w:rPr>
              <w:t>71,2</w:t>
            </w:r>
          </w:p>
        </w:tc>
      </w:tr>
      <w:tr w:rsidR="00DA6C0A" w:rsidRPr="003A1EE6" w:rsidTr="0074439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6416" w:type="dxa"/>
            <w:vAlign w:val="center"/>
            <w:hideMark/>
          </w:tcPr>
          <w:p w:rsidR="00DA6C0A" w:rsidRPr="003A1EE6" w:rsidRDefault="00DA6C0A" w:rsidP="00744398">
            <w:pPr>
              <w:rPr>
                <w:rFonts w:ascii="Times New Roman" w:eastAsia="Times New Roman" w:hAnsi="Times New Roman" w:cs="Times New Roman"/>
                <w:b w:val="0"/>
                <w:color w:val="000000"/>
              </w:rPr>
            </w:pPr>
            <w:r w:rsidRPr="003A1EE6">
              <w:rPr>
                <w:rFonts w:ascii="Times New Roman" w:eastAsia="Times New Roman" w:hAnsi="Times New Roman" w:cs="Times New Roman"/>
                <w:b w:val="0"/>
                <w:color w:val="000000"/>
              </w:rPr>
              <w:t>Hizmetlere olan talep beklentisi (gelecek 3 aylık dönemde)</w:t>
            </w:r>
          </w:p>
        </w:tc>
        <w:tc>
          <w:tcPr>
            <w:tcW w:w="1252" w:type="dxa"/>
            <w:noWrap/>
            <w:vAlign w:val="center"/>
          </w:tcPr>
          <w:p w:rsidR="00DA6C0A" w:rsidRPr="003A1EE6" w:rsidRDefault="00DA6C0A" w:rsidP="007443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A1EE6">
              <w:rPr>
                <w:rFonts w:ascii="Times New Roman" w:eastAsia="Times New Roman" w:hAnsi="Times New Roman" w:cs="Times New Roman"/>
                <w:color w:val="000000"/>
              </w:rPr>
              <w:t>93,7</w:t>
            </w:r>
          </w:p>
        </w:tc>
        <w:tc>
          <w:tcPr>
            <w:tcW w:w="1358" w:type="dxa"/>
            <w:noWrap/>
            <w:vAlign w:val="center"/>
          </w:tcPr>
          <w:p w:rsidR="00DA6C0A" w:rsidRPr="003A1EE6" w:rsidRDefault="00DA6C0A" w:rsidP="007443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A1EE6">
              <w:rPr>
                <w:rFonts w:ascii="Times New Roman" w:eastAsia="Times New Roman" w:hAnsi="Times New Roman" w:cs="Times New Roman"/>
                <w:color w:val="000000"/>
              </w:rPr>
              <w:t>92,7</w:t>
            </w:r>
          </w:p>
        </w:tc>
      </w:tr>
    </w:tbl>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63"/>
        <w:gridCol w:w="4236"/>
      </w:tblGrid>
      <w:tr w:rsidR="00553D53" w:rsidRPr="00553D53" w:rsidTr="00553D53">
        <w:trPr>
          <w:trHeight w:val="915"/>
        </w:trPr>
        <w:tc>
          <w:tcPr>
            <w:tcW w:w="5063" w:type="dxa"/>
            <w:vAlign w:val="center"/>
          </w:tcPr>
          <w:p w:rsidR="00553D53" w:rsidRPr="00553D53" w:rsidRDefault="00553D53" w:rsidP="00553D53">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553D53">
              <w:rPr>
                <w:rFonts w:asciiTheme="majorHAnsi" w:eastAsiaTheme="majorEastAsia" w:hAnsiTheme="majorHAnsi" w:cstheme="majorBidi"/>
                <w:sz w:val="36"/>
                <w:szCs w:val="36"/>
                <w:lang w:eastAsia="tr-TR"/>
              </w:rPr>
              <w:t xml:space="preserve">2018 Kasım </w:t>
            </w:r>
          </w:p>
          <w:p w:rsidR="00553D53" w:rsidRPr="00553D53" w:rsidRDefault="00553D53" w:rsidP="00553D53">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553D53">
              <w:rPr>
                <w:rFonts w:asciiTheme="majorHAnsi" w:eastAsiaTheme="majorEastAsia" w:hAnsiTheme="majorHAnsi" w:cstheme="majorBidi"/>
                <w:sz w:val="36"/>
                <w:szCs w:val="36"/>
                <w:lang w:eastAsia="tr-TR"/>
              </w:rPr>
              <w:t>SANAYİ ÜRETİM ENDEKSİ</w:t>
            </w:r>
          </w:p>
        </w:tc>
        <w:tc>
          <w:tcPr>
            <w:tcW w:w="4236" w:type="dxa"/>
          </w:tcPr>
          <w:p w:rsidR="00553D53" w:rsidRPr="00553D53" w:rsidRDefault="00553D53" w:rsidP="00553D53">
            <w:pPr>
              <w:tabs>
                <w:tab w:val="center" w:pos="4536"/>
                <w:tab w:val="right" w:pos="9072"/>
              </w:tabs>
              <w:spacing w:after="0"/>
              <w:jc w:val="center"/>
              <w:rPr>
                <w:rFonts w:asciiTheme="majorHAnsi" w:eastAsiaTheme="majorEastAsia" w:hAnsiTheme="majorHAnsi" w:cstheme="majorBidi"/>
                <w:b/>
                <w:bCs/>
                <w:color w:val="4F81BD" w:themeColor="accent1"/>
                <w:sz w:val="36"/>
                <w:szCs w:val="36"/>
                <w:lang w:eastAsia="tr-TR"/>
              </w:rPr>
            </w:pPr>
            <w:r w:rsidRPr="00553D53">
              <w:rPr>
                <w:rFonts w:asciiTheme="majorHAnsi" w:eastAsiaTheme="majorEastAsia" w:hAnsiTheme="majorHAnsi" w:cstheme="majorBidi"/>
                <w:bCs/>
                <w:sz w:val="28"/>
                <w:szCs w:val="36"/>
                <w:lang w:eastAsia="tr-TR"/>
              </w:rPr>
              <w:t xml:space="preserve">14 Ocak 2019  </w:t>
            </w:r>
            <w:r w:rsidRPr="00553D53">
              <w:rPr>
                <w:rFonts w:asciiTheme="majorHAnsi" w:eastAsiaTheme="majorEastAsia" w:hAnsiTheme="majorHAnsi" w:cstheme="majorBidi"/>
                <w:b/>
                <w:bCs/>
                <w:noProof/>
                <w:color w:val="4F81BD" w:themeColor="accent1"/>
                <w:sz w:val="36"/>
                <w:szCs w:val="36"/>
                <w:lang w:eastAsia="tr-TR"/>
              </w:rPr>
              <w:drawing>
                <wp:inline distT="0" distB="0" distL="0" distR="0" wp14:anchorId="5BF0C5D0" wp14:editId="3EE19D12">
                  <wp:extent cx="892754" cy="533400"/>
                  <wp:effectExtent l="0" t="0" r="0" b="0"/>
                  <wp:docPr id="15" name="Resim 15"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Pr="00553D53">
              <w:rPr>
                <w:rFonts w:asciiTheme="majorHAnsi" w:eastAsiaTheme="majorEastAsia" w:hAnsiTheme="majorHAnsi" w:cstheme="majorBidi"/>
                <w:bCs/>
                <w:sz w:val="28"/>
                <w:szCs w:val="36"/>
                <w:lang w:eastAsia="tr-TR"/>
              </w:rPr>
              <w:t xml:space="preserve">              </w:t>
            </w:r>
          </w:p>
        </w:tc>
      </w:tr>
    </w:tbl>
    <w:p w:rsidR="00553D53" w:rsidRPr="00553D53" w:rsidRDefault="00553D53" w:rsidP="00553D53">
      <w:pPr>
        <w:tabs>
          <w:tab w:val="center" w:pos="4536"/>
          <w:tab w:val="right" w:pos="9072"/>
        </w:tabs>
        <w:spacing w:after="0" w:line="240" w:lineRule="auto"/>
        <w:rPr>
          <w:rFonts w:eastAsiaTheme="minorEastAsia"/>
          <w:lang w:eastAsia="tr-TR"/>
        </w:rPr>
      </w:pPr>
    </w:p>
    <w:p w:rsidR="00553D53" w:rsidRPr="00553D53" w:rsidRDefault="00553D53" w:rsidP="00553D53">
      <w:pPr>
        <w:rPr>
          <w:rFonts w:eastAsiaTheme="minorEastAsia"/>
          <w:b/>
          <w:lang w:eastAsia="tr-TR"/>
        </w:rPr>
      </w:pPr>
      <w:r w:rsidRPr="00553D53">
        <w:rPr>
          <w:rFonts w:eastAsiaTheme="minorEastAsia"/>
          <w:b/>
          <w:lang w:eastAsia="tr-TR"/>
        </w:rPr>
        <w:t>Kasım 2018 Sanayi Üretim Endeksi’ne ilişkin veriler Türkiye İstatistik Kurumu (TÜİK) tarafından 14 Ocak 2019 tarihinde yayımlandı.</w:t>
      </w:r>
    </w:p>
    <w:p w:rsidR="00553D53" w:rsidRPr="00553D53" w:rsidRDefault="00553D53" w:rsidP="00553D53">
      <w:pPr>
        <w:rPr>
          <w:rFonts w:eastAsiaTheme="minorEastAsia"/>
          <w:lang w:eastAsia="tr-TR"/>
        </w:rPr>
      </w:pPr>
      <w:r w:rsidRPr="00553D53">
        <w:rPr>
          <w:rFonts w:eastAsiaTheme="minorEastAsia"/>
          <w:lang w:eastAsia="tr-TR"/>
        </w:rPr>
        <w:lastRenderedPageBreak/>
        <w:t>TÜİK tarafından aylık yayımlanan Sanayi Üretim Endeksi, Türkiye’deki sanayi kuruluşlarının toplam üretiminin zaman içindeki değişimi hakkında bilgi vermektedir.</w:t>
      </w:r>
      <w:r w:rsidRPr="00553D53">
        <w:rPr>
          <w:rFonts w:eastAsiaTheme="minorEastAsia"/>
          <w:vertAlign w:val="superscript"/>
          <w:lang w:eastAsia="tr-TR"/>
        </w:rPr>
        <w:footnoteReference w:id="1"/>
      </w:r>
    </w:p>
    <w:p w:rsidR="00553D53" w:rsidRPr="00553D53" w:rsidRDefault="00553D53" w:rsidP="00553D53">
      <w:pPr>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 xml:space="preserve">Şekil 1: Aylara göre sanayi üretim endeksi </w:t>
      </w:r>
    </w:p>
    <w:p w:rsidR="00553D53" w:rsidRPr="00553D53" w:rsidRDefault="00553D53" w:rsidP="00553D53">
      <w:pPr>
        <w:ind w:firstLine="720"/>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(mevsim ve takvim etkilerinden arındırılmış, 2015=100)</w:t>
      </w:r>
    </w:p>
    <w:p w:rsidR="00553D53" w:rsidRPr="00553D53" w:rsidRDefault="00553D53" w:rsidP="00553D53">
      <w:pPr>
        <w:jc w:val="both"/>
        <w:outlineLvl w:val="1"/>
        <w:rPr>
          <w:rFonts w:eastAsia="Times New Roman" w:cs="Times New Roman"/>
          <w:b/>
          <w:bCs/>
          <w:kern w:val="36"/>
          <w:sz w:val="28"/>
          <w:szCs w:val="24"/>
          <w:lang w:eastAsia="tr-TR"/>
        </w:rPr>
      </w:pPr>
      <w:r w:rsidRPr="00553D53">
        <w:rPr>
          <w:rFonts w:eastAsiaTheme="minorEastAsia"/>
          <w:noProof/>
          <w:lang w:eastAsia="tr-TR"/>
        </w:rPr>
        <w:drawing>
          <wp:inline distT="0" distB="0" distL="0" distR="0" wp14:anchorId="70539394" wp14:editId="51517F03">
            <wp:extent cx="5972810" cy="2225040"/>
            <wp:effectExtent l="0" t="0" r="27940" b="2286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53D53" w:rsidRPr="00553D53" w:rsidRDefault="00553D53" w:rsidP="00553D53">
      <w:pPr>
        <w:jc w:val="both"/>
        <w:rPr>
          <w:rFonts w:eastAsiaTheme="minorEastAsia"/>
          <w:lang w:eastAsia="tr-TR"/>
        </w:rPr>
      </w:pPr>
      <w:r w:rsidRPr="00553D53">
        <w:rPr>
          <w:rFonts w:eastAsiaTheme="minorEastAsia"/>
          <w:lang w:eastAsia="tr-TR"/>
        </w:rPr>
        <w:t xml:space="preserve">Kasım ayında Türkiye (TR) Geneli Sanayi Üretim Endeksi </w:t>
      </w:r>
      <w:r w:rsidRPr="00553D53">
        <w:rPr>
          <w:rFonts w:eastAsiaTheme="minorEastAsia"/>
          <w:b/>
          <w:u w:val="single"/>
          <w:lang w:eastAsia="tr-TR"/>
        </w:rPr>
        <w:t>bir önceki aya (Ekim 2018) göre</w:t>
      </w:r>
      <w:r w:rsidRPr="00553D53">
        <w:rPr>
          <w:rFonts w:eastAsiaTheme="minorEastAsia"/>
          <w:lang w:eastAsia="tr-TR"/>
        </w:rPr>
        <w:t xml:space="preserve"> yüzde 0,3 azalış göstermiştir. Kasım (2018) ayındaki azalışta bir önceki aya göre madencilik ve </w:t>
      </w:r>
      <w:proofErr w:type="spellStart"/>
      <w:r w:rsidRPr="00553D53">
        <w:rPr>
          <w:rFonts w:eastAsiaTheme="minorEastAsia"/>
          <w:lang w:eastAsia="tr-TR"/>
        </w:rPr>
        <w:t>taşocakçılığı</w:t>
      </w:r>
      <w:proofErr w:type="spellEnd"/>
      <w:r w:rsidRPr="00553D53">
        <w:rPr>
          <w:rFonts w:eastAsiaTheme="minorEastAsia"/>
          <w:lang w:eastAsia="tr-TR"/>
        </w:rPr>
        <w:t xml:space="preserve"> sektöründeki 3,7’lik ve imalat sanayi sektöründeki yüzde 0,1’lik azalışın etkili olduğu görülmektedir. Elektrik, gaz, buhar ve iklimlendirme üretimi ve dağıtımı sektöründe ise değişim yaşanmamıştır.</w:t>
      </w:r>
    </w:p>
    <w:p w:rsidR="00553D53" w:rsidRPr="00553D53" w:rsidRDefault="00553D53" w:rsidP="00553D53">
      <w:pPr>
        <w:jc w:val="both"/>
        <w:rPr>
          <w:rFonts w:eastAsiaTheme="minorEastAsia"/>
          <w:lang w:eastAsia="tr-TR"/>
        </w:rPr>
      </w:pPr>
      <w:r w:rsidRPr="00553D53">
        <w:rPr>
          <w:rFonts w:eastAsiaTheme="minorEastAsia"/>
          <w:lang w:eastAsia="tr-TR"/>
        </w:rPr>
        <w:t>Ana sanayi gruplarına bakıldığında toplam sanayi endeksindeki azalışta ara malı, sermaye malı ve enerji sektöründe yaşanan azalışın etkisi olduğu görülmektedir (sırasıyla yüzde 1,6’lık, 0,5’lik ve 0,3’lük azalışlar).</w:t>
      </w:r>
    </w:p>
    <w:p w:rsidR="00553D53" w:rsidRPr="00553D53" w:rsidRDefault="00553D53" w:rsidP="00553D53">
      <w:pPr>
        <w:jc w:val="both"/>
        <w:rPr>
          <w:rFonts w:eastAsiaTheme="minorEastAsia"/>
          <w:lang w:eastAsia="tr-TR"/>
        </w:rPr>
      </w:pPr>
      <w:r w:rsidRPr="00553D53">
        <w:rPr>
          <w:rFonts w:eastAsiaTheme="minorEastAsia"/>
          <w:lang w:eastAsia="tr-TR"/>
        </w:rPr>
        <w:t xml:space="preserve">Teknoloji sınıflarına bakıldığında bir önceki aya göre orta yüksek teknolojili üretimde yüzde 2,1’lik ve düşük teknolojili üretimde yüzde 0,9’luk artış olduğu görülmektedir. Yüksek teknolojili üretimde yüzde 3,5’lik ve orta düşük teknolojili üretimde 2,4’lük azalış yaşanmıştır.  </w:t>
      </w:r>
    </w:p>
    <w:p w:rsidR="00553D53" w:rsidRPr="00553D53" w:rsidRDefault="00553D53" w:rsidP="00553D53">
      <w:pPr>
        <w:jc w:val="both"/>
        <w:outlineLvl w:val="1"/>
        <w:rPr>
          <w:rFonts w:eastAsia="Times New Roman" w:cs="Times New Roman"/>
          <w:b/>
          <w:bCs/>
          <w:kern w:val="36"/>
          <w:sz w:val="24"/>
          <w:szCs w:val="24"/>
          <w:lang w:eastAsia="tr-TR"/>
        </w:rPr>
      </w:pPr>
    </w:p>
    <w:p w:rsidR="00553D53" w:rsidRPr="00553D53" w:rsidRDefault="00553D53" w:rsidP="00553D53">
      <w:pPr>
        <w:jc w:val="both"/>
        <w:outlineLvl w:val="1"/>
        <w:rPr>
          <w:rFonts w:eastAsia="Times New Roman" w:cs="Times New Roman"/>
          <w:b/>
          <w:bCs/>
          <w:kern w:val="36"/>
          <w:sz w:val="24"/>
          <w:szCs w:val="24"/>
          <w:lang w:eastAsia="tr-TR"/>
        </w:rPr>
      </w:pPr>
    </w:p>
    <w:p w:rsidR="00553D53" w:rsidRPr="00553D53" w:rsidRDefault="00553D53" w:rsidP="00553D53">
      <w:pPr>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 xml:space="preserve">Şekil 2: Yıllara göre Kasım ayları itibariyle sanayi üretim endeksi </w:t>
      </w:r>
    </w:p>
    <w:p w:rsidR="00553D53" w:rsidRPr="00553D53" w:rsidRDefault="00553D53" w:rsidP="00553D53">
      <w:pPr>
        <w:ind w:firstLine="720"/>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(takvim etkisinden arındırılmış, 2015=100)</w:t>
      </w:r>
    </w:p>
    <w:p w:rsidR="00553D53" w:rsidRPr="00553D53" w:rsidRDefault="00553D53" w:rsidP="00553D53">
      <w:pPr>
        <w:jc w:val="both"/>
        <w:outlineLvl w:val="1"/>
        <w:rPr>
          <w:rFonts w:eastAsia="Times New Roman" w:cs="Times New Roman"/>
          <w:b/>
          <w:bCs/>
          <w:kern w:val="36"/>
          <w:sz w:val="24"/>
          <w:szCs w:val="24"/>
          <w:lang w:eastAsia="tr-TR"/>
        </w:rPr>
      </w:pPr>
      <w:r w:rsidRPr="00553D53">
        <w:rPr>
          <w:rFonts w:eastAsiaTheme="minorEastAsia"/>
          <w:noProof/>
          <w:lang w:eastAsia="tr-TR"/>
        </w:rPr>
        <w:lastRenderedPageBreak/>
        <w:drawing>
          <wp:inline distT="0" distB="0" distL="0" distR="0" wp14:anchorId="3E8285A9" wp14:editId="304E69A1">
            <wp:extent cx="5972810" cy="2683510"/>
            <wp:effectExtent l="0" t="0" r="27940" b="2159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3D53" w:rsidRPr="00553D53" w:rsidRDefault="00553D53" w:rsidP="00553D53">
      <w:pPr>
        <w:jc w:val="both"/>
        <w:rPr>
          <w:rFonts w:eastAsiaTheme="minorEastAsia"/>
          <w:lang w:eastAsia="tr-TR"/>
        </w:rPr>
      </w:pPr>
      <w:r w:rsidRPr="00553D53">
        <w:rPr>
          <w:rFonts w:eastAsiaTheme="minorEastAsia"/>
          <w:lang w:eastAsia="tr-TR"/>
        </w:rPr>
        <w:t xml:space="preserve">Endeks </w:t>
      </w:r>
      <w:r w:rsidRPr="00553D53">
        <w:rPr>
          <w:rFonts w:eastAsiaTheme="minorEastAsia"/>
          <w:b/>
          <w:u w:val="single"/>
          <w:lang w:eastAsia="tr-TR"/>
        </w:rPr>
        <w:t>bir önceki yılın aynı ayına göre</w:t>
      </w:r>
      <w:r w:rsidRPr="00553D53">
        <w:rPr>
          <w:rFonts w:eastAsiaTheme="minorEastAsia"/>
          <w:lang w:eastAsia="tr-TR"/>
        </w:rPr>
        <w:t xml:space="preserve"> yüzde 6,5 oranında azalış göstermiştir. Kasım (2018) ayında önceki yıla göre ana sanayi sektörleri itibariyle en yüksek azalış yüzde 7,1 ile imalat sanayi sektöründe gerçekleşmiştir. Bu sektörü, yüzde 1,8 azalışla elektrik, gaz, buhar ve iklimlendirme üretimi ve dağıtımı ve yüzde 1,1 azalışla madencilik ve </w:t>
      </w:r>
      <w:proofErr w:type="spellStart"/>
      <w:r w:rsidRPr="00553D53">
        <w:rPr>
          <w:rFonts w:eastAsiaTheme="minorEastAsia"/>
          <w:lang w:eastAsia="tr-TR"/>
        </w:rPr>
        <w:t>taşocakçılığı</w:t>
      </w:r>
      <w:proofErr w:type="spellEnd"/>
      <w:r w:rsidRPr="00553D53">
        <w:rPr>
          <w:rFonts w:eastAsiaTheme="minorEastAsia"/>
          <w:lang w:eastAsia="tr-TR"/>
        </w:rPr>
        <w:t xml:space="preserve"> sektörleri takip etmiştir.  </w:t>
      </w:r>
    </w:p>
    <w:p w:rsidR="00553D53" w:rsidRPr="00553D53" w:rsidRDefault="00553D53" w:rsidP="00553D53">
      <w:pPr>
        <w:jc w:val="both"/>
        <w:rPr>
          <w:rFonts w:eastAsiaTheme="minorEastAsia"/>
          <w:lang w:eastAsia="tr-TR"/>
        </w:rPr>
      </w:pPr>
      <w:r w:rsidRPr="00553D53">
        <w:rPr>
          <w:rFonts w:eastAsiaTheme="minorEastAsia"/>
          <w:lang w:eastAsia="tr-TR"/>
        </w:rPr>
        <w:t xml:space="preserve">Ana sanayi gruplarına bakıldığında, ara malı imalatında yüzde 11,9’luk, sermaye malı imalatında yüzde 8,3’lük ve dayanıksız tüketim malı imalatında yüzde 2,8’lik azalış yaşanmıştır. </w:t>
      </w:r>
    </w:p>
    <w:p w:rsidR="00553D53" w:rsidRPr="00553D53" w:rsidRDefault="00553D53" w:rsidP="00553D53">
      <w:pPr>
        <w:jc w:val="both"/>
        <w:rPr>
          <w:rFonts w:eastAsiaTheme="minorEastAsia"/>
          <w:lang w:eastAsia="tr-TR"/>
        </w:rPr>
      </w:pPr>
      <w:r w:rsidRPr="00553D53">
        <w:rPr>
          <w:rFonts w:eastAsiaTheme="minorEastAsia"/>
          <w:lang w:eastAsia="tr-TR"/>
        </w:rPr>
        <w:t>Bir önceki yılın aynı ayına göre değişime teknoloji sınıflarına göre bakıldığında en yüksek azalışın yüzde 14,2’lik azalışla orta düşük teknolojili üretimde olduğu görülmektedir. Orta düşük teknolojili üretimi yüzde 7,6’lık azalış ile orta yüksek teknolojili üretim ve yüzde 3,5’lik azalış ile düşük teknolojili üretim takip etmiştir. Yüksek teknolojili üretim yüzde 5,9’luk artış göstermiştir.</w:t>
      </w:r>
    </w:p>
    <w:p w:rsidR="00553D53" w:rsidRPr="00553D53" w:rsidRDefault="00553D53" w:rsidP="00553D53">
      <w:pPr>
        <w:jc w:val="both"/>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tbl>
      <w:tblPr>
        <w:tblStyle w:val="TabloKlavuzu"/>
        <w:tblW w:w="0" w:type="auto"/>
        <w:tblLook w:val="04A0" w:firstRow="1" w:lastRow="0" w:firstColumn="1" w:lastColumn="0" w:noHBand="0" w:noVBand="1"/>
      </w:tblPr>
      <w:tblGrid>
        <w:gridCol w:w="4110"/>
        <w:gridCol w:w="2153"/>
        <w:gridCol w:w="2067"/>
      </w:tblGrid>
      <w:tr w:rsidR="00553D53" w:rsidRPr="00553D53" w:rsidTr="00744398">
        <w:trPr>
          <w:trHeight w:val="264"/>
        </w:trPr>
        <w:tc>
          <w:tcPr>
            <w:tcW w:w="4110" w:type="dxa"/>
            <w:noWrap/>
            <w:hideMark/>
          </w:tcPr>
          <w:p w:rsidR="00553D53" w:rsidRPr="00553D53" w:rsidRDefault="00553D53" w:rsidP="00553D53">
            <w:pPr>
              <w:jc w:val="both"/>
            </w:pPr>
            <w:r w:rsidRPr="00553D53">
              <w:rPr>
                <w:b/>
              </w:rPr>
              <w:t>Tablo 1: Sanayi Üretim Endeksi Büyüme Oranları,  Kasım 2018</w:t>
            </w:r>
          </w:p>
        </w:tc>
        <w:tc>
          <w:tcPr>
            <w:tcW w:w="2153" w:type="dxa"/>
            <w:noWrap/>
            <w:hideMark/>
          </w:tcPr>
          <w:p w:rsidR="00553D53" w:rsidRPr="00553D53" w:rsidRDefault="00553D53" w:rsidP="00553D53">
            <w:pPr>
              <w:jc w:val="both"/>
            </w:pPr>
            <w:r w:rsidRPr="00553D53">
              <w:t>Önceki Aya Göre (%)</w:t>
            </w:r>
          </w:p>
        </w:tc>
        <w:tc>
          <w:tcPr>
            <w:tcW w:w="2067" w:type="dxa"/>
            <w:noWrap/>
            <w:hideMark/>
          </w:tcPr>
          <w:p w:rsidR="00553D53" w:rsidRPr="00553D53" w:rsidRDefault="00553D53" w:rsidP="00553D53">
            <w:pPr>
              <w:jc w:val="both"/>
            </w:pPr>
            <w:r w:rsidRPr="00553D53">
              <w:t>Önceki Yıla Göre (%)</w:t>
            </w:r>
          </w:p>
        </w:tc>
      </w:tr>
      <w:tr w:rsidR="00553D53" w:rsidRPr="00553D53" w:rsidTr="00744398">
        <w:trPr>
          <w:trHeight w:val="264"/>
        </w:trPr>
        <w:tc>
          <w:tcPr>
            <w:tcW w:w="4110" w:type="dxa"/>
            <w:noWrap/>
            <w:hideMark/>
          </w:tcPr>
          <w:p w:rsidR="00553D53" w:rsidRPr="00553D53" w:rsidRDefault="00553D53" w:rsidP="00553D53">
            <w:pPr>
              <w:jc w:val="both"/>
            </w:pPr>
            <w:r w:rsidRPr="00553D53">
              <w:t>Ara Malı</w:t>
            </w:r>
          </w:p>
        </w:tc>
        <w:tc>
          <w:tcPr>
            <w:tcW w:w="2153" w:type="dxa"/>
            <w:noWrap/>
            <w:vAlign w:val="center"/>
            <w:hideMark/>
          </w:tcPr>
          <w:p w:rsidR="00553D53" w:rsidRPr="00553D53" w:rsidRDefault="00553D53" w:rsidP="00553D53">
            <w:pPr>
              <w:jc w:val="center"/>
            </w:pPr>
            <w:r w:rsidRPr="00553D53">
              <w:t>-1,6</w:t>
            </w:r>
          </w:p>
        </w:tc>
        <w:tc>
          <w:tcPr>
            <w:tcW w:w="2067" w:type="dxa"/>
            <w:noWrap/>
            <w:vAlign w:val="center"/>
            <w:hideMark/>
          </w:tcPr>
          <w:p w:rsidR="00553D53" w:rsidRPr="00553D53" w:rsidRDefault="00553D53" w:rsidP="00553D53">
            <w:pPr>
              <w:jc w:val="center"/>
            </w:pPr>
            <w:r w:rsidRPr="00553D53">
              <w:t>-11,9</w:t>
            </w:r>
          </w:p>
        </w:tc>
      </w:tr>
      <w:tr w:rsidR="00553D53" w:rsidRPr="00553D53" w:rsidTr="00744398">
        <w:trPr>
          <w:trHeight w:val="264"/>
        </w:trPr>
        <w:tc>
          <w:tcPr>
            <w:tcW w:w="4110" w:type="dxa"/>
            <w:noWrap/>
            <w:hideMark/>
          </w:tcPr>
          <w:p w:rsidR="00553D53" w:rsidRPr="00553D53" w:rsidRDefault="00553D53" w:rsidP="00553D53">
            <w:pPr>
              <w:jc w:val="both"/>
            </w:pPr>
            <w:r w:rsidRPr="00553D53">
              <w:t>Dayanıklı Tüketim Malı</w:t>
            </w:r>
          </w:p>
        </w:tc>
        <w:tc>
          <w:tcPr>
            <w:tcW w:w="2153" w:type="dxa"/>
            <w:noWrap/>
            <w:vAlign w:val="center"/>
            <w:hideMark/>
          </w:tcPr>
          <w:p w:rsidR="00553D53" w:rsidRPr="00553D53" w:rsidRDefault="00553D53" w:rsidP="00553D53">
            <w:pPr>
              <w:jc w:val="center"/>
            </w:pPr>
            <w:r w:rsidRPr="00553D53">
              <w:t>7,6</w:t>
            </w:r>
          </w:p>
        </w:tc>
        <w:tc>
          <w:tcPr>
            <w:tcW w:w="2067" w:type="dxa"/>
            <w:noWrap/>
            <w:vAlign w:val="center"/>
            <w:hideMark/>
          </w:tcPr>
          <w:p w:rsidR="00553D53" w:rsidRPr="00553D53" w:rsidRDefault="00553D53" w:rsidP="00553D53">
            <w:pPr>
              <w:jc w:val="center"/>
            </w:pPr>
            <w:r w:rsidRPr="00553D53">
              <w:t>10,0</w:t>
            </w:r>
          </w:p>
        </w:tc>
      </w:tr>
      <w:tr w:rsidR="00553D53" w:rsidRPr="00553D53" w:rsidTr="00744398">
        <w:trPr>
          <w:trHeight w:val="264"/>
        </w:trPr>
        <w:tc>
          <w:tcPr>
            <w:tcW w:w="4110" w:type="dxa"/>
            <w:noWrap/>
            <w:hideMark/>
          </w:tcPr>
          <w:p w:rsidR="00553D53" w:rsidRPr="00553D53" w:rsidRDefault="00553D53" w:rsidP="00553D53">
            <w:pPr>
              <w:jc w:val="both"/>
            </w:pPr>
            <w:r w:rsidRPr="00553D53">
              <w:lastRenderedPageBreak/>
              <w:t>Dayanıksız Tüketim Malı</w:t>
            </w:r>
          </w:p>
        </w:tc>
        <w:tc>
          <w:tcPr>
            <w:tcW w:w="2153" w:type="dxa"/>
            <w:noWrap/>
            <w:vAlign w:val="center"/>
            <w:hideMark/>
          </w:tcPr>
          <w:p w:rsidR="00553D53" w:rsidRPr="00553D53" w:rsidRDefault="00553D53" w:rsidP="00553D53">
            <w:pPr>
              <w:jc w:val="center"/>
            </w:pPr>
            <w:r w:rsidRPr="00553D53">
              <w:t>0,4</w:t>
            </w:r>
          </w:p>
        </w:tc>
        <w:tc>
          <w:tcPr>
            <w:tcW w:w="2067" w:type="dxa"/>
            <w:noWrap/>
            <w:vAlign w:val="center"/>
            <w:hideMark/>
          </w:tcPr>
          <w:p w:rsidR="00553D53" w:rsidRPr="00553D53" w:rsidRDefault="00553D53" w:rsidP="00553D53">
            <w:r w:rsidRPr="00553D53">
              <w:t xml:space="preserve">               -2,8</w:t>
            </w:r>
          </w:p>
        </w:tc>
      </w:tr>
      <w:tr w:rsidR="00553D53" w:rsidRPr="00553D53" w:rsidTr="00744398">
        <w:trPr>
          <w:trHeight w:val="264"/>
        </w:trPr>
        <w:tc>
          <w:tcPr>
            <w:tcW w:w="4110" w:type="dxa"/>
            <w:noWrap/>
            <w:hideMark/>
          </w:tcPr>
          <w:p w:rsidR="00553D53" w:rsidRPr="00553D53" w:rsidRDefault="00553D53" w:rsidP="00553D53">
            <w:pPr>
              <w:jc w:val="both"/>
            </w:pPr>
            <w:r w:rsidRPr="00553D53">
              <w:t>Enerji</w:t>
            </w:r>
          </w:p>
        </w:tc>
        <w:tc>
          <w:tcPr>
            <w:tcW w:w="2153" w:type="dxa"/>
            <w:noWrap/>
            <w:vAlign w:val="center"/>
            <w:hideMark/>
          </w:tcPr>
          <w:p w:rsidR="00553D53" w:rsidRPr="00553D53" w:rsidRDefault="00553D53" w:rsidP="00553D53">
            <w:pPr>
              <w:jc w:val="center"/>
            </w:pPr>
            <w:r w:rsidRPr="00553D53">
              <w:t>-0,3</w:t>
            </w:r>
          </w:p>
        </w:tc>
        <w:tc>
          <w:tcPr>
            <w:tcW w:w="2067" w:type="dxa"/>
            <w:noWrap/>
            <w:vAlign w:val="center"/>
            <w:hideMark/>
          </w:tcPr>
          <w:p w:rsidR="00553D53" w:rsidRPr="00553D53" w:rsidRDefault="00553D53" w:rsidP="00553D53">
            <w:pPr>
              <w:jc w:val="center"/>
            </w:pPr>
            <w:r w:rsidRPr="00553D53">
              <w:t>0,7</w:t>
            </w:r>
          </w:p>
        </w:tc>
      </w:tr>
      <w:tr w:rsidR="00553D53" w:rsidRPr="00553D53" w:rsidTr="00744398">
        <w:trPr>
          <w:trHeight w:val="264"/>
        </w:trPr>
        <w:tc>
          <w:tcPr>
            <w:tcW w:w="4110" w:type="dxa"/>
            <w:noWrap/>
            <w:hideMark/>
          </w:tcPr>
          <w:p w:rsidR="00553D53" w:rsidRPr="00553D53" w:rsidRDefault="00553D53" w:rsidP="00553D53">
            <w:pPr>
              <w:jc w:val="both"/>
            </w:pPr>
            <w:r w:rsidRPr="00553D53">
              <w:t>Sermaye Malı</w:t>
            </w:r>
          </w:p>
        </w:tc>
        <w:tc>
          <w:tcPr>
            <w:tcW w:w="2153" w:type="dxa"/>
            <w:noWrap/>
            <w:vAlign w:val="center"/>
            <w:hideMark/>
          </w:tcPr>
          <w:p w:rsidR="00553D53" w:rsidRPr="00553D53" w:rsidRDefault="00553D53" w:rsidP="00553D53">
            <w:pPr>
              <w:jc w:val="center"/>
            </w:pPr>
            <w:r w:rsidRPr="00553D53">
              <w:t>-0,5</w:t>
            </w:r>
          </w:p>
        </w:tc>
        <w:tc>
          <w:tcPr>
            <w:tcW w:w="2067" w:type="dxa"/>
            <w:noWrap/>
            <w:vAlign w:val="center"/>
            <w:hideMark/>
          </w:tcPr>
          <w:p w:rsidR="00553D53" w:rsidRPr="00553D53" w:rsidRDefault="00553D53" w:rsidP="00553D53">
            <w:pPr>
              <w:jc w:val="center"/>
            </w:pPr>
            <w:r w:rsidRPr="00553D53">
              <w:t>-8,3</w:t>
            </w:r>
          </w:p>
        </w:tc>
      </w:tr>
      <w:tr w:rsidR="00553D53" w:rsidRPr="00553D53" w:rsidTr="00744398">
        <w:trPr>
          <w:trHeight w:val="264"/>
        </w:trPr>
        <w:tc>
          <w:tcPr>
            <w:tcW w:w="4110" w:type="dxa"/>
            <w:noWrap/>
            <w:hideMark/>
          </w:tcPr>
          <w:p w:rsidR="00553D53" w:rsidRPr="00553D53" w:rsidRDefault="00553D53" w:rsidP="00553D53">
            <w:pPr>
              <w:jc w:val="both"/>
              <w:rPr>
                <w:b/>
              </w:rPr>
            </w:pPr>
            <w:r w:rsidRPr="00553D53">
              <w:rPr>
                <w:b/>
              </w:rPr>
              <w:t>TOPLAM</w:t>
            </w:r>
          </w:p>
        </w:tc>
        <w:tc>
          <w:tcPr>
            <w:tcW w:w="2153" w:type="dxa"/>
            <w:noWrap/>
            <w:vAlign w:val="center"/>
            <w:hideMark/>
          </w:tcPr>
          <w:p w:rsidR="00553D53" w:rsidRPr="00553D53" w:rsidRDefault="00553D53" w:rsidP="00553D53">
            <w:pPr>
              <w:jc w:val="center"/>
              <w:rPr>
                <w:b/>
              </w:rPr>
            </w:pPr>
            <w:r w:rsidRPr="00553D53">
              <w:rPr>
                <w:b/>
              </w:rPr>
              <w:t>-0,3</w:t>
            </w:r>
          </w:p>
        </w:tc>
        <w:tc>
          <w:tcPr>
            <w:tcW w:w="2067" w:type="dxa"/>
            <w:noWrap/>
            <w:vAlign w:val="center"/>
            <w:hideMark/>
          </w:tcPr>
          <w:p w:rsidR="00553D53" w:rsidRPr="00553D53" w:rsidRDefault="00553D53" w:rsidP="00553D53">
            <w:pPr>
              <w:jc w:val="center"/>
              <w:rPr>
                <w:b/>
              </w:rPr>
            </w:pPr>
            <w:r w:rsidRPr="00553D53">
              <w:rPr>
                <w:b/>
              </w:rPr>
              <w:t>-6,5</w:t>
            </w:r>
          </w:p>
        </w:tc>
      </w:tr>
      <w:tr w:rsidR="00553D53" w:rsidRPr="00553D53" w:rsidTr="00744398">
        <w:trPr>
          <w:trHeight w:val="264"/>
        </w:trPr>
        <w:tc>
          <w:tcPr>
            <w:tcW w:w="4110" w:type="dxa"/>
            <w:shd w:val="clear" w:color="auto" w:fill="808080" w:themeFill="background1" w:themeFillShade="80"/>
            <w:noWrap/>
            <w:hideMark/>
          </w:tcPr>
          <w:p w:rsidR="00553D53" w:rsidRPr="00553D53" w:rsidRDefault="00553D53" w:rsidP="00553D53">
            <w:pPr>
              <w:jc w:val="both"/>
              <w:rPr>
                <w:b/>
              </w:rPr>
            </w:pPr>
          </w:p>
        </w:tc>
        <w:tc>
          <w:tcPr>
            <w:tcW w:w="2153" w:type="dxa"/>
            <w:shd w:val="clear" w:color="auto" w:fill="808080" w:themeFill="background1" w:themeFillShade="80"/>
            <w:noWrap/>
            <w:hideMark/>
          </w:tcPr>
          <w:p w:rsidR="00553D53" w:rsidRPr="00553D53" w:rsidRDefault="00553D53" w:rsidP="00553D53">
            <w:pPr>
              <w:jc w:val="both"/>
            </w:pPr>
          </w:p>
        </w:tc>
        <w:tc>
          <w:tcPr>
            <w:tcW w:w="2067" w:type="dxa"/>
            <w:shd w:val="clear" w:color="auto" w:fill="808080" w:themeFill="background1" w:themeFillShade="80"/>
            <w:noWrap/>
            <w:hideMark/>
          </w:tcPr>
          <w:p w:rsidR="00553D53" w:rsidRPr="00553D53" w:rsidRDefault="00553D53" w:rsidP="00553D53">
            <w:pPr>
              <w:jc w:val="both"/>
            </w:pPr>
          </w:p>
        </w:tc>
      </w:tr>
      <w:tr w:rsidR="00553D53" w:rsidRPr="00553D53" w:rsidTr="00744398">
        <w:trPr>
          <w:trHeight w:val="264"/>
        </w:trPr>
        <w:tc>
          <w:tcPr>
            <w:tcW w:w="4110" w:type="dxa"/>
            <w:noWrap/>
            <w:hideMark/>
          </w:tcPr>
          <w:p w:rsidR="00553D53" w:rsidRPr="00553D53" w:rsidRDefault="00553D53" w:rsidP="00553D53">
            <w:pPr>
              <w:jc w:val="both"/>
            </w:pPr>
            <w:r w:rsidRPr="00553D53">
              <w:rPr>
                <w:b/>
              </w:rPr>
              <w:t xml:space="preserve">Tablo 2: Sanayi Üretim Endeksi </w:t>
            </w:r>
            <w:proofErr w:type="spellStart"/>
            <w:r w:rsidRPr="00553D53">
              <w:rPr>
                <w:b/>
              </w:rPr>
              <w:t>Sektörel</w:t>
            </w:r>
            <w:proofErr w:type="spellEnd"/>
            <w:r w:rsidRPr="00553D53">
              <w:rPr>
                <w:b/>
              </w:rPr>
              <w:t xml:space="preserve"> Büyüme Oranları, Kasım 2018</w:t>
            </w:r>
          </w:p>
        </w:tc>
        <w:tc>
          <w:tcPr>
            <w:tcW w:w="2153" w:type="dxa"/>
            <w:noWrap/>
            <w:hideMark/>
          </w:tcPr>
          <w:p w:rsidR="00553D53" w:rsidRPr="00553D53" w:rsidRDefault="00553D53" w:rsidP="00553D53">
            <w:pPr>
              <w:jc w:val="both"/>
            </w:pPr>
            <w:r w:rsidRPr="00553D53">
              <w:t>Önceki Aya Göre (%)</w:t>
            </w:r>
          </w:p>
        </w:tc>
        <w:tc>
          <w:tcPr>
            <w:tcW w:w="2067" w:type="dxa"/>
            <w:noWrap/>
            <w:hideMark/>
          </w:tcPr>
          <w:p w:rsidR="00553D53" w:rsidRPr="00553D53" w:rsidRDefault="00553D53" w:rsidP="00553D53">
            <w:pPr>
              <w:jc w:val="both"/>
            </w:pPr>
            <w:r w:rsidRPr="00553D53">
              <w:t>Önceki Yıla Göre (%)</w:t>
            </w:r>
          </w:p>
        </w:tc>
      </w:tr>
      <w:tr w:rsidR="00553D53" w:rsidRPr="00553D53" w:rsidTr="00744398">
        <w:trPr>
          <w:trHeight w:val="264"/>
        </w:trPr>
        <w:tc>
          <w:tcPr>
            <w:tcW w:w="4110" w:type="dxa"/>
            <w:noWrap/>
            <w:hideMark/>
          </w:tcPr>
          <w:p w:rsidR="00553D53" w:rsidRPr="00553D53" w:rsidRDefault="00553D53" w:rsidP="00553D53">
            <w:r w:rsidRPr="00553D53">
              <w:t xml:space="preserve">Madencilik ve </w:t>
            </w:r>
            <w:proofErr w:type="spellStart"/>
            <w:r w:rsidRPr="00553D53">
              <w:t>Taşocakçılığı</w:t>
            </w:r>
            <w:proofErr w:type="spellEnd"/>
          </w:p>
        </w:tc>
        <w:tc>
          <w:tcPr>
            <w:tcW w:w="2153" w:type="dxa"/>
            <w:noWrap/>
            <w:vAlign w:val="center"/>
            <w:hideMark/>
          </w:tcPr>
          <w:p w:rsidR="00553D53" w:rsidRPr="00553D53" w:rsidRDefault="00553D53" w:rsidP="00553D53">
            <w:pPr>
              <w:jc w:val="center"/>
            </w:pPr>
            <w:r w:rsidRPr="00553D53">
              <w:t>-3,7</w:t>
            </w:r>
          </w:p>
        </w:tc>
        <w:tc>
          <w:tcPr>
            <w:tcW w:w="2067" w:type="dxa"/>
            <w:noWrap/>
            <w:vAlign w:val="center"/>
            <w:hideMark/>
          </w:tcPr>
          <w:p w:rsidR="00553D53" w:rsidRPr="00553D53" w:rsidRDefault="00553D53" w:rsidP="00553D53">
            <w:pPr>
              <w:jc w:val="center"/>
            </w:pPr>
            <w:r w:rsidRPr="00553D53">
              <w:t>-1,1</w:t>
            </w:r>
          </w:p>
        </w:tc>
      </w:tr>
      <w:tr w:rsidR="00553D53" w:rsidRPr="00553D53" w:rsidTr="00744398">
        <w:trPr>
          <w:trHeight w:val="264"/>
        </w:trPr>
        <w:tc>
          <w:tcPr>
            <w:tcW w:w="4110" w:type="dxa"/>
            <w:noWrap/>
            <w:hideMark/>
          </w:tcPr>
          <w:p w:rsidR="00553D53" w:rsidRPr="00553D53" w:rsidRDefault="00553D53" w:rsidP="00553D53">
            <w:pPr>
              <w:jc w:val="both"/>
            </w:pPr>
            <w:r w:rsidRPr="00553D53">
              <w:t>İmalat Sanayi</w:t>
            </w:r>
          </w:p>
        </w:tc>
        <w:tc>
          <w:tcPr>
            <w:tcW w:w="2153" w:type="dxa"/>
            <w:noWrap/>
            <w:vAlign w:val="center"/>
            <w:hideMark/>
          </w:tcPr>
          <w:p w:rsidR="00553D53" w:rsidRPr="00553D53" w:rsidRDefault="00553D53" w:rsidP="00553D53">
            <w:pPr>
              <w:jc w:val="center"/>
            </w:pPr>
            <w:r w:rsidRPr="00553D53">
              <w:t>-0,1</w:t>
            </w:r>
          </w:p>
        </w:tc>
        <w:tc>
          <w:tcPr>
            <w:tcW w:w="2067" w:type="dxa"/>
            <w:noWrap/>
            <w:vAlign w:val="center"/>
            <w:hideMark/>
          </w:tcPr>
          <w:p w:rsidR="00553D53" w:rsidRPr="00553D53" w:rsidRDefault="00553D53" w:rsidP="00553D53">
            <w:pPr>
              <w:jc w:val="center"/>
            </w:pPr>
            <w:r w:rsidRPr="00553D53">
              <w:t>-7,1</w:t>
            </w:r>
          </w:p>
        </w:tc>
      </w:tr>
      <w:tr w:rsidR="00553D53" w:rsidRPr="00553D53" w:rsidTr="00744398">
        <w:trPr>
          <w:trHeight w:val="264"/>
        </w:trPr>
        <w:tc>
          <w:tcPr>
            <w:tcW w:w="4110" w:type="dxa"/>
            <w:noWrap/>
            <w:hideMark/>
          </w:tcPr>
          <w:p w:rsidR="00553D53" w:rsidRPr="00553D53" w:rsidRDefault="00553D53" w:rsidP="00553D53">
            <w:pPr>
              <w:jc w:val="both"/>
            </w:pPr>
            <w:r w:rsidRPr="00553D53">
              <w:t>Elektrik, Gaz, Buhar ve İklimlendirme Üretimi ve Dağıtımı</w:t>
            </w:r>
          </w:p>
        </w:tc>
        <w:tc>
          <w:tcPr>
            <w:tcW w:w="2153" w:type="dxa"/>
            <w:noWrap/>
            <w:vAlign w:val="center"/>
            <w:hideMark/>
          </w:tcPr>
          <w:p w:rsidR="00553D53" w:rsidRPr="00553D53" w:rsidRDefault="00553D53" w:rsidP="00553D53">
            <w:pPr>
              <w:jc w:val="center"/>
            </w:pPr>
            <w:r w:rsidRPr="00553D53">
              <w:t>0,0</w:t>
            </w:r>
          </w:p>
        </w:tc>
        <w:tc>
          <w:tcPr>
            <w:tcW w:w="2067" w:type="dxa"/>
            <w:noWrap/>
            <w:vAlign w:val="center"/>
            <w:hideMark/>
          </w:tcPr>
          <w:p w:rsidR="00553D53" w:rsidRPr="00553D53" w:rsidRDefault="00553D53" w:rsidP="00553D53">
            <w:pPr>
              <w:jc w:val="center"/>
            </w:pPr>
            <w:r w:rsidRPr="00553D53">
              <w:t>-1,8</w:t>
            </w:r>
          </w:p>
        </w:tc>
      </w:tr>
      <w:tr w:rsidR="00553D53" w:rsidRPr="00553D53" w:rsidTr="00744398">
        <w:trPr>
          <w:trHeight w:val="264"/>
        </w:trPr>
        <w:tc>
          <w:tcPr>
            <w:tcW w:w="4110" w:type="dxa"/>
            <w:noWrap/>
            <w:hideMark/>
          </w:tcPr>
          <w:p w:rsidR="00553D53" w:rsidRPr="00553D53" w:rsidRDefault="00553D53" w:rsidP="00553D53">
            <w:pPr>
              <w:jc w:val="both"/>
              <w:rPr>
                <w:b/>
              </w:rPr>
            </w:pPr>
            <w:r w:rsidRPr="00553D53">
              <w:rPr>
                <w:b/>
              </w:rPr>
              <w:t>TOPLAM</w:t>
            </w:r>
          </w:p>
        </w:tc>
        <w:tc>
          <w:tcPr>
            <w:tcW w:w="2153" w:type="dxa"/>
            <w:noWrap/>
            <w:vAlign w:val="center"/>
            <w:hideMark/>
          </w:tcPr>
          <w:p w:rsidR="00553D53" w:rsidRPr="00553D53" w:rsidRDefault="00553D53" w:rsidP="00553D53">
            <w:pPr>
              <w:jc w:val="center"/>
              <w:rPr>
                <w:b/>
              </w:rPr>
            </w:pPr>
            <w:r w:rsidRPr="00553D53">
              <w:rPr>
                <w:b/>
              </w:rPr>
              <w:t>-0,3</w:t>
            </w:r>
          </w:p>
        </w:tc>
        <w:tc>
          <w:tcPr>
            <w:tcW w:w="2067" w:type="dxa"/>
            <w:noWrap/>
            <w:vAlign w:val="center"/>
            <w:hideMark/>
          </w:tcPr>
          <w:p w:rsidR="00553D53" w:rsidRPr="00553D53" w:rsidRDefault="00553D53" w:rsidP="00553D53">
            <w:pPr>
              <w:jc w:val="center"/>
              <w:rPr>
                <w:b/>
              </w:rPr>
            </w:pPr>
            <w:r w:rsidRPr="00553D53">
              <w:rPr>
                <w:b/>
              </w:rPr>
              <w:t>-6,5</w:t>
            </w:r>
          </w:p>
        </w:tc>
      </w:tr>
      <w:tr w:rsidR="00553D53" w:rsidRPr="00553D53" w:rsidTr="00744398">
        <w:trPr>
          <w:trHeight w:val="264"/>
        </w:trPr>
        <w:tc>
          <w:tcPr>
            <w:tcW w:w="4110" w:type="dxa"/>
            <w:shd w:val="clear" w:color="auto" w:fill="808080" w:themeFill="background1" w:themeFillShade="80"/>
            <w:noWrap/>
          </w:tcPr>
          <w:p w:rsidR="00553D53" w:rsidRPr="00553D53" w:rsidRDefault="00553D53" w:rsidP="00553D53">
            <w:pPr>
              <w:jc w:val="both"/>
              <w:rPr>
                <w:b/>
              </w:rPr>
            </w:pPr>
          </w:p>
        </w:tc>
        <w:tc>
          <w:tcPr>
            <w:tcW w:w="2153" w:type="dxa"/>
            <w:shd w:val="clear" w:color="auto" w:fill="808080" w:themeFill="background1" w:themeFillShade="80"/>
            <w:noWrap/>
            <w:vAlign w:val="center"/>
          </w:tcPr>
          <w:p w:rsidR="00553D53" w:rsidRPr="00553D53" w:rsidRDefault="00553D53" w:rsidP="00553D53">
            <w:pPr>
              <w:jc w:val="center"/>
              <w:rPr>
                <w:b/>
              </w:rPr>
            </w:pPr>
          </w:p>
        </w:tc>
        <w:tc>
          <w:tcPr>
            <w:tcW w:w="2067" w:type="dxa"/>
            <w:shd w:val="clear" w:color="auto" w:fill="808080" w:themeFill="background1" w:themeFillShade="80"/>
            <w:noWrap/>
            <w:vAlign w:val="center"/>
          </w:tcPr>
          <w:p w:rsidR="00553D53" w:rsidRPr="00553D53" w:rsidRDefault="00553D53" w:rsidP="00553D53">
            <w:pPr>
              <w:jc w:val="center"/>
              <w:rPr>
                <w:b/>
              </w:rPr>
            </w:pPr>
          </w:p>
        </w:tc>
      </w:tr>
      <w:tr w:rsidR="00553D53" w:rsidRPr="00553D53" w:rsidTr="00744398">
        <w:trPr>
          <w:trHeight w:val="264"/>
        </w:trPr>
        <w:tc>
          <w:tcPr>
            <w:tcW w:w="4110" w:type="dxa"/>
            <w:noWrap/>
          </w:tcPr>
          <w:p w:rsidR="00553D53" w:rsidRPr="00553D53" w:rsidRDefault="00553D53" w:rsidP="00553D53">
            <w:pPr>
              <w:jc w:val="both"/>
              <w:rPr>
                <w:b/>
              </w:rPr>
            </w:pPr>
            <w:r w:rsidRPr="00553D53">
              <w:rPr>
                <w:b/>
              </w:rPr>
              <w:t>Tablo 3. Sanayi Üretim Endeksi Teknoloji Sınıflarına Göre Büyüme Oranları, Kasım 2018</w:t>
            </w:r>
          </w:p>
        </w:tc>
        <w:tc>
          <w:tcPr>
            <w:tcW w:w="2153" w:type="dxa"/>
            <w:noWrap/>
          </w:tcPr>
          <w:p w:rsidR="00553D53" w:rsidRPr="00553D53" w:rsidRDefault="00553D53" w:rsidP="00553D53">
            <w:pPr>
              <w:jc w:val="both"/>
            </w:pPr>
            <w:r w:rsidRPr="00553D53">
              <w:t>Önceki Aya Göre (%)</w:t>
            </w:r>
          </w:p>
        </w:tc>
        <w:tc>
          <w:tcPr>
            <w:tcW w:w="2067" w:type="dxa"/>
            <w:noWrap/>
          </w:tcPr>
          <w:p w:rsidR="00553D53" w:rsidRPr="00553D53" w:rsidRDefault="00553D53" w:rsidP="00553D53">
            <w:pPr>
              <w:jc w:val="both"/>
            </w:pPr>
            <w:r w:rsidRPr="00553D53">
              <w:t>Önceki Yıla Göre (%)</w:t>
            </w:r>
          </w:p>
        </w:tc>
      </w:tr>
      <w:tr w:rsidR="00553D53" w:rsidRPr="00553D53" w:rsidTr="00744398">
        <w:trPr>
          <w:trHeight w:val="264"/>
        </w:trPr>
        <w:tc>
          <w:tcPr>
            <w:tcW w:w="4110" w:type="dxa"/>
            <w:noWrap/>
          </w:tcPr>
          <w:p w:rsidR="00553D53" w:rsidRPr="00553D53" w:rsidRDefault="00553D53" w:rsidP="00553D53">
            <w:pPr>
              <w:jc w:val="both"/>
            </w:pPr>
            <w:r w:rsidRPr="00553D53">
              <w:t>Düşük Teknoloji</w:t>
            </w:r>
          </w:p>
        </w:tc>
        <w:tc>
          <w:tcPr>
            <w:tcW w:w="2153" w:type="dxa"/>
            <w:noWrap/>
            <w:vAlign w:val="center"/>
          </w:tcPr>
          <w:p w:rsidR="00553D53" w:rsidRPr="00553D53" w:rsidRDefault="00553D53" w:rsidP="00553D53">
            <w:pPr>
              <w:jc w:val="center"/>
            </w:pPr>
            <w:r w:rsidRPr="00553D53">
              <w:t>0,9</w:t>
            </w:r>
          </w:p>
        </w:tc>
        <w:tc>
          <w:tcPr>
            <w:tcW w:w="2067" w:type="dxa"/>
            <w:noWrap/>
            <w:vAlign w:val="center"/>
          </w:tcPr>
          <w:p w:rsidR="00553D53" w:rsidRPr="00553D53" w:rsidRDefault="00553D53" w:rsidP="00553D53">
            <w:pPr>
              <w:jc w:val="center"/>
            </w:pPr>
            <w:r w:rsidRPr="00553D53">
              <w:t>-3,5</w:t>
            </w:r>
          </w:p>
        </w:tc>
      </w:tr>
      <w:tr w:rsidR="00553D53" w:rsidRPr="00553D53" w:rsidTr="00744398">
        <w:trPr>
          <w:trHeight w:val="264"/>
        </w:trPr>
        <w:tc>
          <w:tcPr>
            <w:tcW w:w="4110" w:type="dxa"/>
            <w:noWrap/>
          </w:tcPr>
          <w:p w:rsidR="00553D53" w:rsidRPr="00553D53" w:rsidRDefault="00553D53" w:rsidP="00553D53">
            <w:pPr>
              <w:jc w:val="both"/>
            </w:pPr>
            <w:r w:rsidRPr="00553D53">
              <w:t>Orta Düşük Teknoloji</w:t>
            </w:r>
          </w:p>
        </w:tc>
        <w:tc>
          <w:tcPr>
            <w:tcW w:w="2153" w:type="dxa"/>
            <w:noWrap/>
            <w:vAlign w:val="center"/>
          </w:tcPr>
          <w:p w:rsidR="00553D53" w:rsidRPr="00553D53" w:rsidRDefault="00553D53" w:rsidP="00553D53">
            <w:pPr>
              <w:jc w:val="center"/>
            </w:pPr>
            <w:r w:rsidRPr="00553D53">
              <w:t>-2,4</w:t>
            </w:r>
          </w:p>
        </w:tc>
        <w:tc>
          <w:tcPr>
            <w:tcW w:w="2067" w:type="dxa"/>
            <w:noWrap/>
            <w:vAlign w:val="center"/>
          </w:tcPr>
          <w:p w:rsidR="00553D53" w:rsidRPr="00553D53" w:rsidRDefault="00553D53" w:rsidP="00553D53">
            <w:pPr>
              <w:jc w:val="center"/>
            </w:pPr>
            <w:r w:rsidRPr="00553D53">
              <w:t>-14,2</w:t>
            </w:r>
          </w:p>
        </w:tc>
      </w:tr>
      <w:tr w:rsidR="00553D53" w:rsidRPr="00553D53" w:rsidTr="00744398">
        <w:trPr>
          <w:trHeight w:val="264"/>
        </w:trPr>
        <w:tc>
          <w:tcPr>
            <w:tcW w:w="4110" w:type="dxa"/>
            <w:noWrap/>
          </w:tcPr>
          <w:p w:rsidR="00553D53" w:rsidRPr="00553D53" w:rsidRDefault="00553D53" w:rsidP="00553D53">
            <w:pPr>
              <w:jc w:val="both"/>
            </w:pPr>
            <w:r w:rsidRPr="00553D53">
              <w:t>Orta Yüksek Teknoloji</w:t>
            </w:r>
          </w:p>
        </w:tc>
        <w:tc>
          <w:tcPr>
            <w:tcW w:w="2153" w:type="dxa"/>
            <w:noWrap/>
            <w:vAlign w:val="center"/>
          </w:tcPr>
          <w:p w:rsidR="00553D53" w:rsidRPr="00553D53" w:rsidRDefault="00553D53" w:rsidP="00553D53">
            <w:pPr>
              <w:jc w:val="center"/>
            </w:pPr>
            <w:r w:rsidRPr="00553D53">
              <w:t>2,1</w:t>
            </w:r>
          </w:p>
        </w:tc>
        <w:tc>
          <w:tcPr>
            <w:tcW w:w="2067" w:type="dxa"/>
            <w:noWrap/>
            <w:vAlign w:val="center"/>
          </w:tcPr>
          <w:p w:rsidR="00553D53" w:rsidRPr="00553D53" w:rsidRDefault="00553D53" w:rsidP="00553D53">
            <w:r w:rsidRPr="00553D53">
              <w:t xml:space="preserve">                -7,6</w:t>
            </w:r>
          </w:p>
        </w:tc>
      </w:tr>
      <w:tr w:rsidR="00553D53" w:rsidRPr="00553D53" w:rsidTr="00744398">
        <w:trPr>
          <w:trHeight w:val="264"/>
        </w:trPr>
        <w:tc>
          <w:tcPr>
            <w:tcW w:w="4110" w:type="dxa"/>
            <w:noWrap/>
          </w:tcPr>
          <w:p w:rsidR="00553D53" w:rsidRPr="00553D53" w:rsidRDefault="00553D53" w:rsidP="00553D53">
            <w:pPr>
              <w:jc w:val="both"/>
            </w:pPr>
            <w:r w:rsidRPr="00553D53">
              <w:t>Yüksek Teknoloji</w:t>
            </w:r>
          </w:p>
        </w:tc>
        <w:tc>
          <w:tcPr>
            <w:tcW w:w="2153" w:type="dxa"/>
            <w:noWrap/>
            <w:vAlign w:val="center"/>
          </w:tcPr>
          <w:p w:rsidR="00553D53" w:rsidRPr="00553D53" w:rsidRDefault="00553D53" w:rsidP="00553D53">
            <w:pPr>
              <w:jc w:val="center"/>
            </w:pPr>
            <w:r w:rsidRPr="00553D53">
              <w:t>-3,5</w:t>
            </w:r>
          </w:p>
        </w:tc>
        <w:tc>
          <w:tcPr>
            <w:tcW w:w="2067" w:type="dxa"/>
            <w:noWrap/>
            <w:vAlign w:val="center"/>
          </w:tcPr>
          <w:p w:rsidR="00553D53" w:rsidRPr="00553D53" w:rsidRDefault="00553D53" w:rsidP="00553D53">
            <w:pPr>
              <w:jc w:val="center"/>
            </w:pPr>
            <w:r w:rsidRPr="00553D53">
              <w:t>5,9</w:t>
            </w:r>
          </w:p>
        </w:tc>
      </w:tr>
      <w:tr w:rsidR="00553D53" w:rsidRPr="00553D53" w:rsidTr="00744398">
        <w:trPr>
          <w:trHeight w:val="264"/>
        </w:trPr>
        <w:tc>
          <w:tcPr>
            <w:tcW w:w="4110" w:type="dxa"/>
            <w:noWrap/>
          </w:tcPr>
          <w:p w:rsidR="00553D53" w:rsidRPr="00553D53" w:rsidRDefault="00553D53" w:rsidP="00553D53">
            <w:pPr>
              <w:jc w:val="both"/>
              <w:rPr>
                <w:b/>
              </w:rPr>
            </w:pPr>
            <w:r w:rsidRPr="00553D53">
              <w:rPr>
                <w:b/>
              </w:rPr>
              <w:t>TOPLAM</w:t>
            </w:r>
          </w:p>
        </w:tc>
        <w:tc>
          <w:tcPr>
            <w:tcW w:w="2153" w:type="dxa"/>
            <w:noWrap/>
            <w:vAlign w:val="center"/>
          </w:tcPr>
          <w:p w:rsidR="00553D53" w:rsidRPr="00553D53" w:rsidRDefault="00553D53" w:rsidP="00553D53">
            <w:pPr>
              <w:jc w:val="center"/>
              <w:rPr>
                <w:b/>
              </w:rPr>
            </w:pPr>
            <w:r w:rsidRPr="00553D53">
              <w:rPr>
                <w:b/>
              </w:rPr>
              <w:t>-0,3</w:t>
            </w:r>
          </w:p>
        </w:tc>
        <w:tc>
          <w:tcPr>
            <w:tcW w:w="2067" w:type="dxa"/>
            <w:noWrap/>
            <w:vAlign w:val="center"/>
          </w:tcPr>
          <w:p w:rsidR="00553D53" w:rsidRPr="00553D53" w:rsidRDefault="00553D53" w:rsidP="00553D53">
            <w:pPr>
              <w:jc w:val="center"/>
              <w:rPr>
                <w:b/>
              </w:rPr>
            </w:pPr>
            <w:r w:rsidRPr="00553D53">
              <w:rPr>
                <w:b/>
              </w:rPr>
              <w:t>-6,5</w:t>
            </w:r>
          </w:p>
        </w:tc>
      </w:tr>
    </w:tbl>
    <w:p w:rsidR="00553D53" w:rsidRPr="00553D53" w:rsidRDefault="00553D53" w:rsidP="00553D53">
      <w:pPr>
        <w:jc w:val="both"/>
        <w:rPr>
          <w:rFonts w:eastAsiaTheme="minorEastAsia"/>
          <w:lang w:eastAsia="tr-TR"/>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63"/>
        <w:gridCol w:w="4236"/>
      </w:tblGrid>
      <w:tr w:rsidR="00553D53" w:rsidRPr="00553D53" w:rsidTr="00744398">
        <w:trPr>
          <w:trHeight w:val="915"/>
        </w:trPr>
        <w:tc>
          <w:tcPr>
            <w:tcW w:w="5644" w:type="dxa"/>
            <w:vAlign w:val="center"/>
          </w:tcPr>
          <w:p w:rsidR="00553D53" w:rsidRPr="00553D53" w:rsidRDefault="00553D53" w:rsidP="00553D53">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553D53">
              <w:rPr>
                <w:rFonts w:asciiTheme="majorHAnsi" w:eastAsiaTheme="majorEastAsia" w:hAnsiTheme="majorHAnsi" w:cstheme="majorBidi"/>
                <w:sz w:val="36"/>
                <w:szCs w:val="36"/>
                <w:lang w:eastAsia="tr-TR"/>
              </w:rPr>
              <w:t xml:space="preserve">2018 Kasım </w:t>
            </w:r>
          </w:p>
          <w:p w:rsidR="00553D53" w:rsidRPr="00553D53" w:rsidRDefault="00553D53" w:rsidP="00553D53">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553D53">
              <w:rPr>
                <w:rFonts w:asciiTheme="majorHAnsi" w:eastAsiaTheme="majorEastAsia" w:hAnsiTheme="majorHAnsi" w:cstheme="majorBidi"/>
                <w:sz w:val="36"/>
                <w:szCs w:val="36"/>
                <w:lang w:eastAsia="tr-TR"/>
              </w:rPr>
              <w:t>SANAYİ ÜRETİM ENDEKSİ</w:t>
            </w:r>
          </w:p>
        </w:tc>
        <w:tc>
          <w:tcPr>
            <w:tcW w:w="4678" w:type="dxa"/>
          </w:tcPr>
          <w:p w:rsidR="00553D53" w:rsidRPr="00553D53" w:rsidRDefault="00553D53" w:rsidP="00553D53">
            <w:pPr>
              <w:tabs>
                <w:tab w:val="center" w:pos="4536"/>
                <w:tab w:val="right" w:pos="9072"/>
              </w:tabs>
              <w:spacing w:after="0"/>
              <w:jc w:val="center"/>
              <w:rPr>
                <w:rFonts w:asciiTheme="majorHAnsi" w:eastAsiaTheme="majorEastAsia" w:hAnsiTheme="majorHAnsi" w:cstheme="majorBidi"/>
                <w:b/>
                <w:bCs/>
                <w:color w:val="4F81BD" w:themeColor="accent1"/>
                <w:sz w:val="36"/>
                <w:szCs w:val="36"/>
                <w:lang w:eastAsia="tr-TR"/>
              </w:rPr>
            </w:pPr>
            <w:r w:rsidRPr="00553D53">
              <w:rPr>
                <w:rFonts w:asciiTheme="majorHAnsi" w:eastAsiaTheme="majorEastAsia" w:hAnsiTheme="majorHAnsi" w:cstheme="majorBidi"/>
                <w:bCs/>
                <w:sz w:val="28"/>
                <w:szCs w:val="36"/>
                <w:lang w:eastAsia="tr-TR"/>
              </w:rPr>
              <w:t xml:space="preserve">14 Ocak 2019  </w:t>
            </w:r>
            <w:r w:rsidRPr="00553D53">
              <w:rPr>
                <w:rFonts w:asciiTheme="majorHAnsi" w:eastAsiaTheme="majorEastAsia" w:hAnsiTheme="majorHAnsi" w:cstheme="majorBidi"/>
                <w:b/>
                <w:bCs/>
                <w:noProof/>
                <w:color w:val="4F81BD" w:themeColor="accent1"/>
                <w:sz w:val="36"/>
                <w:szCs w:val="36"/>
                <w:lang w:eastAsia="tr-TR"/>
              </w:rPr>
              <w:drawing>
                <wp:inline distT="0" distB="0" distL="0" distR="0" wp14:anchorId="5BBA6794" wp14:editId="192488DC">
                  <wp:extent cx="892754" cy="533400"/>
                  <wp:effectExtent l="0" t="0" r="0" b="0"/>
                  <wp:docPr id="18" name="Resim 18"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Pr="00553D53">
              <w:rPr>
                <w:rFonts w:asciiTheme="majorHAnsi" w:eastAsiaTheme="majorEastAsia" w:hAnsiTheme="majorHAnsi" w:cstheme="majorBidi"/>
                <w:bCs/>
                <w:sz w:val="28"/>
                <w:szCs w:val="36"/>
                <w:lang w:eastAsia="tr-TR"/>
              </w:rPr>
              <w:t xml:space="preserve">              </w:t>
            </w:r>
          </w:p>
        </w:tc>
      </w:tr>
    </w:tbl>
    <w:p w:rsidR="00553D53" w:rsidRPr="00553D53" w:rsidRDefault="00553D53" w:rsidP="00553D53">
      <w:pPr>
        <w:tabs>
          <w:tab w:val="center" w:pos="4536"/>
          <w:tab w:val="right" w:pos="9072"/>
        </w:tabs>
        <w:spacing w:after="0" w:line="240" w:lineRule="auto"/>
        <w:rPr>
          <w:rFonts w:eastAsiaTheme="minorEastAsia"/>
          <w:lang w:eastAsia="tr-TR"/>
        </w:rPr>
      </w:pPr>
    </w:p>
    <w:p w:rsidR="00553D53" w:rsidRPr="00553D53" w:rsidRDefault="00553D53" w:rsidP="00553D53">
      <w:pPr>
        <w:rPr>
          <w:rFonts w:eastAsiaTheme="minorEastAsia"/>
          <w:b/>
          <w:lang w:eastAsia="tr-TR"/>
        </w:rPr>
      </w:pPr>
      <w:r w:rsidRPr="00553D53">
        <w:rPr>
          <w:rFonts w:eastAsiaTheme="minorEastAsia"/>
          <w:b/>
          <w:lang w:eastAsia="tr-TR"/>
        </w:rPr>
        <w:t>Kasım 2018 Sanayi Üretim Endeksi’ne ilişkin veriler Türkiye İstatistik Kurumu (TÜİK) tarafından 14 Ocak 2019 tarihinde yayımlandı.</w:t>
      </w:r>
    </w:p>
    <w:p w:rsidR="00553D53" w:rsidRPr="00553D53" w:rsidRDefault="00553D53" w:rsidP="00553D53">
      <w:pPr>
        <w:rPr>
          <w:rFonts w:eastAsiaTheme="minorEastAsia"/>
          <w:lang w:eastAsia="tr-TR"/>
        </w:rPr>
      </w:pPr>
      <w:r w:rsidRPr="00553D53">
        <w:rPr>
          <w:rFonts w:eastAsiaTheme="minorEastAsia"/>
          <w:lang w:eastAsia="tr-TR"/>
        </w:rPr>
        <w:t>TÜİK tarafından aylık yayımlanan Sanayi Üretim Endeksi, Türkiye’deki sanayi kuruluşlarının toplam üretiminin zaman içindeki değişimi hakkında bilgi vermektedir.</w:t>
      </w:r>
      <w:r w:rsidRPr="00553D53">
        <w:rPr>
          <w:rFonts w:eastAsiaTheme="minorEastAsia"/>
          <w:vertAlign w:val="superscript"/>
          <w:lang w:eastAsia="tr-TR"/>
        </w:rPr>
        <w:footnoteReference w:id="2"/>
      </w:r>
    </w:p>
    <w:p w:rsidR="00553D53" w:rsidRPr="00553D53" w:rsidRDefault="00553D53" w:rsidP="00553D53">
      <w:pPr>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 xml:space="preserve">Şekil 1: Aylara göre sanayi üretim endeksi </w:t>
      </w:r>
    </w:p>
    <w:p w:rsidR="00553D53" w:rsidRPr="00553D53" w:rsidRDefault="00553D53" w:rsidP="00553D53">
      <w:pPr>
        <w:ind w:firstLine="720"/>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(mevsim ve takvim etkilerinden arındırılmış, 2015=100)</w:t>
      </w:r>
    </w:p>
    <w:p w:rsidR="00553D53" w:rsidRPr="00553D53" w:rsidRDefault="00553D53" w:rsidP="00553D53">
      <w:pPr>
        <w:jc w:val="both"/>
        <w:outlineLvl w:val="1"/>
        <w:rPr>
          <w:rFonts w:eastAsia="Times New Roman" w:cs="Times New Roman"/>
          <w:b/>
          <w:bCs/>
          <w:kern w:val="36"/>
          <w:sz w:val="28"/>
          <w:szCs w:val="24"/>
          <w:lang w:eastAsia="tr-TR"/>
        </w:rPr>
      </w:pPr>
      <w:r w:rsidRPr="00553D53">
        <w:rPr>
          <w:rFonts w:eastAsiaTheme="minorEastAsia"/>
          <w:noProof/>
          <w:lang w:eastAsia="tr-TR"/>
        </w:rPr>
        <w:lastRenderedPageBreak/>
        <w:drawing>
          <wp:inline distT="0" distB="0" distL="0" distR="0" wp14:anchorId="29A32F93" wp14:editId="7464D119">
            <wp:extent cx="5972810" cy="2225040"/>
            <wp:effectExtent l="0" t="0" r="27940" b="2286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53D53" w:rsidRPr="00553D53" w:rsidRDefault="00553D53" w:rsidP="00553D53">
      <w:pPr>
        <w:jc w:val="both"/>
        <w:rPr>
          <w:rFonts w:eastAsiaTheme="minorEastAsia"/>
          <w:lang w:eastAsia="tr-TR"/>
        </w:rPr>
      </w:pPr>
      <w:r w:rsidRPr="00553D53">
        <w:rPr>
          <w:rFonts w:eastAsiaTheme="minorEastAsia"/>
          <w:lang w:eastAsia="tr-TR"/>
        </w:rPr>
        <w:t xml:space="preserve">Kasım ayında Türkiye (TR) Geneli Sanayi Üretim Endeksi </w:t>
      </w:r>
      <w:r w:rsidRPr="00553D53">
        <w:rPr>
          <w:rFonts w:eastAsiaTheme="minorEastAsia"/>
          <w:b/>
          <w:u w:val="single"/>
          <w:lang w:eastAsia="tr-TR"/>
        </w:rPr>
        <w:t>bir önceki aya (Ekim 2018) göre</w:t>
      </w:r>
      <w:r w:rsidRPr="00553D53">
        <w:rPr>
          <w:rFonts w:eastAsiaTheme="minorEastAsia"/>
          <w:lang w:eastAsia="tr-TR"/>
        </w:rPr>
        <w:t xml:space="preserve"> yüzde 0,3 azalış göstermiştir. Kasım (2018) ayındaki azalışta bir önceki aya göre madencilik ve </w:t>
      </w:r>
      <w:proofErr w:type="spellStart"/>
      <w:r w:rsidRPr="00553D53">
        <w:rPr>
          <w:rFonts w:eastAsiaTheme="minorEastAsia"/>
          <w:lang w:eastAsia="tr-TR"/>
        </w:rPr>
        <w:t>taşocakçılığı</w:t>
      </w:r>
      <w:proofErr w:type="spellEnd"/>
      <w:r w:rsidRPr="00553D53">
        <w:rPr>
          <w:rFonts w:eastAsiaTheme="minorEastAsia"/>
          <w:lang w:eastAsia="tr-TR"/>
        </w:rPr>
        <w:t xml:space="preserve"> sektöründeki 3,7’lik ve imalat sanayi sektöründeki yüzde 0,1’lik azalışın etkili olduğu görülmektedir. Elektrik, gaz, buhar ve iklimlendirme üretimi ve dağıtımı sektöründe ise değişim yaşanmamıştır.</w:t>
      </w:r>
    </w:p>
    <w:p w:rsidR="00553D53" w:rsidRPr="00553D53" w:rsidRDefault="00553D53" w:rsidP="00553D53">
      <w:pPr>
        <w:jc w:val="both"/>
        <w:rPr>
          <w:rFonts w:eastAsiaTheme="minorEastAsia"/>
          <w:lang w:eastAsia="tr-TR"/>
        </w:rPr>
      </w:pPr>
      <w:r w:rsidRPr="00553D53">
        <w:rPr>
          <w:rFonts w:eastAsiaTheme="minorEastAsia"/>
          <w:lang w:eastAsia="tr-TR"/>
        </w:rPr>
        <w:t>Ana sanayi gruplarına bakıldığında toplam sanayi endeksindeki azalışta ara malı, sermaye malı ve enerji sektöründe yaşanan azalışın etkisi olduğu görülmektedir (sırasıyla yüzde 1,6’lık, 0,5’lik ve 0,3’lük azalışlar).</w:t>
      </w:r>
    </w:p>
    <w:p w:rsidR="00553D53" w:rsidRPr="00553D53" w:rsidRDefault="00553D53" w:rsidP="00553D53">
      <w:pPr>
        <w:jc w:val="both"/>
        <w:rPr>
          <w:rFonts w:eastAsiaTheme="minorEastAsia"/>
          <w:lang w:eastAsia="tr-TR"/>
        </w:rPr>
      </w:pPr>
      <w:r w:rsidRPr="00553D53">
        <w:rPr>
          <w:rFonts w:eastAsiaTheme="minorEastAsia"/>
          <w:lang w:eastAsia="tr-TR"/>
        </w:rPr>
        <w:t xml:space="preserve">Teknoloji sınıflarına bakıldığında bir önceki aya göre orta yüksek teknolojili üretimde yüzde 2,1’lik ve düşük teknolojili üretimde yüzde 0,9’luk artış olduğu görülmektedir. Yüksek teknolojili üretimde yüzde 3,5’lik ve orta düşük teknolojili üretimde 2,4’lük azalış yaşanmıştır.  </w:t>
      </w:r>
    </w:p>
    <w:p w:rsidR="00553D53" w:rsidRPr="00553D53" w:rsidRDefault="00553D53" w:rsidP="00553D53">
      <w:pPr>
        <w:jc w:val="both"/>
        <w:outlineLvl w:val="1"/>
        <w:rPr>
          <w:rFonts w:eastAsia="Times New Roman" w:cs="Times New Roman"/>
          <w:b/>
          <w:bCs/>
          <w:kern w:val="36"/>
          <w:sz w:val="24"/>
          <w:szCs w:val="24"/>
          <w:lang w:eastAsia="tr-TR"/>
        </w:rPr>
      </w:pPr>
    </w:p>
    <w:p w:rsidR="00553D53" w:rsidRPr="00553D53" w:rsidRDefault="00553D53" w:rsidP="00553D53">
      <w:pPr>
        <w:jc w:val="both"/>
        <w:outlineLvl w:val="1"/>
        <w:rPr>
          <w:rFonts w:eastAsia="Times New Roman" w:cs="Times New Roman"/>
          <w:b/>
          <w:bCs/>
          <w:kern w:val="36"/>
          <w:sz w:val="24"/>
          <w:szCs w:val="24"/>
          <w:lang w:eastAsia="tr-TR"/>
        </w:rPr>
      </w:pPr>
    </w:p>
    <w:p w:rsidR="00553D53" w:rsidRPr="00553D53" w:rsidRDefault="00553D53" w:rsidP="00553D53">
      <w:pPr>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 xml:space="preserve">Şekil 2: Yıllara göre Kasım ayları itibariyle sanayi üretim endeksi </w:t>
      </w:r>
    </w:p>
    <w:p w:rsidR="00553D53" w:rsidRPr="00553D53" w:rsidRDefault="00553D53" w:rsidP="00553D53">
      <w:pPr>
        <w:ind w:firstLine="720"/>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(takvim etkisinden arındırılmış, 2015=100)</w:t>
      </w:r>
    </w:p>
    <w:p w:rsidR="00553D53" w:rsidRPr="00553D53" w:rsidRDefault="00553D53" w:rsidP="00553D53">
      <w:pPr>
        <w:jc w:val="both"/>
        <w:outlineLvl w:val="1"/>
        <w:rPr>
          <w:rFonts w:eastAsia="Times New Roman" w:cs="Times New Roman"/>
          <w:b/>
          <w:bCs/>
          <w:kern w:val="36"/>
          <w:sz w:val="24"/>
          <w:szCs w:val="24"/>
          <w:lang w:eastAsia="tr-TR"/>
        </w:rPr>
      </w:pPr>
      <w:r w:rsidRPr="00553D53">
        <w:rPr>
          <w:rFonts w:eastAsiaTheme="minorEastAsia"/>
          <w:noProof/>
          <w:lang w:eastAsia="tr-TR"/>
        </w:rPr>
        <w:lastRenderedPageBreak/>
        <w:drawing>
          <wp:inline distT="0" distB="0" distL="0" distR="0" wp14:anchorId="5AB69CD9" wp14:editId="2AAC18E9">
            <wp:extent cx="5972810" cy="2683510"/>
            <wp:effectExtent l="0" t="0" r="27940" b="21590"/>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53D53" w:rsidRPr="00553D53" w:rsidRDefault="00553D53" w:rsidP="00553D53">
      <w:pPr>
        <w:jc w:val="both"/>
        <w:rPr>
          <w:rFonts w:eastAsiaTheme="minorEastAsia"/>
          <w:lang w:eastAsia="tr-TR"/>
        </w:rPr>
      </w:pPr>
      <w:r w:rsidRPr="00553D53">
        <w:rPr>
          <w:rFonts w:eastAsiaTheme="minorEastAsia"/>
          <w:lang w:eastAsia="tr-TR"/>
        </w:rPr>
        <w:t xml:space="preserve">Endeks </w:t>
      </w:r>
      <w:r w:rsidRPr="00553D53">
        <w:rPr>
          <w:rFonts w:eastAsiaTheme="minorEastAsia"/>
          <w:b/>
          <w:u w:val="single"/>
          <w:lang w:eastAsia="tr-TR"/>
        </w:rPr>
        <w:t>bir önceki yılın aynı ayına göre</w:t>
      </w:r>
      <w:r w:rsidRPr="00553D53">
        <w:rPr>
          <w:rFonts w:eastAsiaTheme="minorEastAsia"/>
          <w:lang w:eastAsia="tr-TR"/>
        </w:rPr>
        <w:t xml:space="preserve"> yüzde 6,5 oranında azalış göstermiştir. Kasım (2018) ayında önceki yıla göre ana sanayi sektörleri itibariyle en yüksek azalış yüzde 7,1 ile imalat sanayi sektöründe gerçekleşmiştir. Bu sektörü, yüzde 1,8 azalışla elektrik, gaz, buhar ve iklimlendirme üretimi ve dağıtımı ve yüzde 1,1 azalışla madencilik ve </w:t>
      </w:r>
      <w:proofErr w:type="spellStart"/>
      <w:r w:rsidRPr="00553D53">
        <w:rPr>
          <w:rFonts w:eastAsiaTheme="minorEastAsia"/>
          <w:lang w:eastAsia="tr-TR"/>
        </w:rPr>
        <w:t>taşocakçılığı</w:t>
      </w:r>
      <w:proofErr w:type="spellEnd"/>
      <w:r w:rsidRPr="00553D53">
        <w:rPr>
          <w:rFonts w:eastAsiaTheme="minorEastAsia"/>
          <w:lang w:eastAsia="tr-TR"/>
        </w:rPr>
        <w:t xml:space="preserve"> sektörleri takip etmiştir.  </w:t>
      </w:r>
    </w:p>
    <w:p w:rsidR="00553D53" w:rsidRPr="00553D53" w:rsidRDefault="00553D53" w:rsidP="00553D53">
      <w:pPr>
        <w:jc w:val="both"/>
        <w:rPr>
          <w:rFonts w:eastAsiaTheme="minorEastAsia"/>
          <w:lang w:eastAsia="tr-TR"/>
        </w:rPr>
      </w:pPr>
      <w:r w:rsidRPr="00553D53">
        <w:rPr>
          <w:rFonts w:eastAsiaTheme="minorEastAsia"/>
          <w:lang w:eastAsia="tr-TR"/>
        </w:rPr>
        <w:t xml:space="preserve">Ana sanayi gruplarına bakıldığında, ara malı imalatında yüzde 11,9’luk, sermaye malı imalatında yüzde 8,3’lük ve dayanıksız tüketim malı imalatında yüzde 2,8’lik azalış yaşanmıştır. </w:t>
      </w:r>
    </w:p>
    <w:p w:rsidR="00553D53" w:rsidRPr="00553D53" w:rsidRDefault="00553D53" w:rsidP="00553D53">
      <w:pPr>
        <w:jc w:val="both"/>
        <w:rPr>
          <w:rFonts w:eastAsiaTheme="minorEastAsia"/>
          <w:lang w:eastAsia="tr-TR"/>
        </w:rPr>
      </w:pPr>
      <w:r w:rsidRPr="00553D53">
        <w:rPr>
          <w:rFonts w:eastAsiaTheme="minorEastAsia"/>
          <w:lang w:eastAsia="tr-TR"/>
        </w:rPr>
        <w:t>Bir önceki yılın aynı ayına göre değişime teknoloji sınıflarına göre bakıldığında en yüksek azalışın yüzde 14,2’lik azalışla orta düşük teknolojili üretimde olduğu görülmektedir. Orta düşük teknolojili üretimi yüzde 7,6’lık azalış ile orta yüksek teknolojili üretim ve yüzde 3,5’lik azalış ile düşük teknolojili üretim takip etmiştir. Yüksek teknolojili üretim yüzde 5,9’luk artış göstermiştir.</w:t>
      </w:r>
    </w:p>
    <w:p w:rsidR="00553D53" w:rsidRPr="00553D53" w:rsidRDefault="00553D53" w:rsidP="00553D53">
      <w:pPr>
        <w:jc w:val="both"/>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tbl>
      <w:tblPr>
        <w:tblStyle w:val="TabloKlavuzu"/>
        <w:tblW w:w="0" w:type="auto"/>
        <w:tblLook w:val="04A0" w:firstRow="1" w:lastRow="0" w:firstColumn="1" w:lastColumn="0" w:noHBand="0" w:noVBand="1"/>
      </w:tblPr>
      <w:tblGrid>
        <w:gridCol w:w="4110"/>
        <w:gridCol w:w="2153"/>
        <w:gridCol w:w="2067"/>
      </w:tblGrid>
      <w:tr w:rsidR="00553D53" w:rsidRPr="00553D53" w:rsidTr="00744398">
        <w:trPr>
          <w:trHeight w:val="264"/>
        </w:trPr>
        <w:tc>
          <w:tcPr>
            <w:tcW w:w="4110" w:type="dxa"/>
            <w:noWrap/>
            <w:hideMark/>
          </w:tcPr>
          <w:p w:rsidR="00553D53" w:rsidRPr="00553D53" w:rsidRDefault="00553D53" w:rsidP="00553D53">
            <w:pPr>
              <w:jc w:val="both"/>
            </w:pPr>
            <w:r w:rsidRPr="00553D53">
              <w:rPr>
                <w:b/>
              </w:rPr>
              <w:t>Tablo 1: Sanayi Üretim Endeksi Büyüme Oranları,  Kasım 2018</w:t>
            </w:r>
          </w:p>
        </w:tc>
        <w:tc>
          <w:tcPr>
            <w:tcW w:w="2153" w:type="dxa"/>
            <w:noWrap/>
            <w:hideMark/>
          </w:tcPr>
          <w:p w:rsidR="00553D53" w:rsidRPr="00553D53" w:rsidRDefault="00553D53" w:rsidP="00553D53">
            <w:pPr>
              <w:jc w:val="both"/>
            </w:pPr>
            <w:r w:rsidRPr="00553D53">
              <w:t>Önceki Aya Göre (%)</w:t>
            </w:r>
          </w:p>
        </w:tc>
        <w:tc>
          <w:tcPr>
            <w:tcW w:w="2067" w:type="dxa"/>
            <w:noWrap/>
            <w:hideMark/>
          </w:tcPr>
          <w:p w:rsidR="00553D53" w:rsidRPr="00553D53" w:rsidRDefault="00553D53" w:rsidP="00553D53">
            <w:pPr>
              <w:jc w:val="both"/>
            </w:pPr>
            <w:r w:rsidRPr="00553D53">
              <w:t>Önceki Yıla Göre (%)</w:t>
            </w:r>
          </w:p>
        </w:tc>
      </w:tr>
      <w:tr w:rsidR="00553D53" w:rsidRPr="00553D53" w:rsidTr="00744398">
        <w:trPr>
          <w:trHeight w:val="264"/>
        </w:trPr>
        <w:tc>
          <w:tcPr>
            <w:tcW w:w="4110" w:type="dxa"/>
            <w:noWrap/>
            <w:hideMark/>
          </w:tcPr>
          <w:p w:rsidR="00553D53" w:rsidRPr="00553D53" w:rsidRDefault="00553D53" w:rsidP="00553D53">
            <w:pPr>
              <w:jc w:val="both"/>
            </w:pPr>
            <w:r w:rsidRPr="00553D53">
              <w:t>Ara Malı</w:t>
            </w:r>
          </w:p>
        </w:tc>
        <w:tc>
          <w:tcPr>
            <w:tcW w:w="2153" w:type="dxa"/>
            <w:noWrap/>
            <w:vAlign w:val="center"/>
            <w:hideMark/>
          </w:tcPr>
          <w:p w:rsidR="00553D53" w:rsidRPr="00553D53" w:rsidRDefault="00553D53" w:rsidP="00553D53">
            <w:pPr>
              <w:jc w:val="center"/>
            </w:pPr>
            <w:r w:rsidRPr="00553D53">
              <w:t>-1,6</w:t>
            </w:r>
          </w:p>
        </w:tc>
        <w:tc>
          <w:tcPr>
            <w:tcW w:w="2067" w:type="dxa"/>
            <w:noWrap/>
            <w:vAlign w:val="center"/>
            <w:hideMark/>
          </w:tcPr>
          <w:p w:rsidR="00553D53" w:rsidRPr="00553D53" w:rsidRDefault="00553D53" w:rsidP="00553D53">
            <w:pPr>
              <w:jc w:val="center"/>
            </w:pPr>
            <w:r w:rsidRPr="00553D53">
              <w:t>-11,9</w:t>
            </w:r>
          </w:p>
        </w:tc>
      </w:tr>
      <w:tr w:rsidR="00553D53" w:rsidRPr="00553D53" w:rsidTr="00744398">
        <w:trPr>
          <w:trHeight w:val="264"/>
        </w:trPr>
        <w:tc>
          <w:tcPr>
            <w:tcW w:w="4110" w:type="dxa"/>
            <w:noWrap/>
            <w:hideMark/>
          </w:tcPr>
          <w:p w:rsidR="00553D53" w:rsidRPr="00553D53" w:rsidRDefault="00553D53" w:rsidP="00553D53">
            <w:pPr>
              <w:jc w:val="both"/>
            </w:pPr>
            <w:r w:rsidRPr="00553D53">
              <w:t>Dayanıklı Tüketim Malı</w:t>
            </w:r>
          </w:p>
        </w:tc>
        <w:tc>
          <w:tcPr>
            <w:tcW w:w="2153" w:type="dxa"/>
            <w:noWrap/>
            <w:vAlign w:val="center"/>
            <w:hideMark/>
          </w:tcPr>
          <w:p w:rsidR="00553D53" w:rsidRPr="00553D53" w:rsidRDefault="00553D53" w:rsidP="00553D53">
            <w:pPr>
              <w:jc w:val="center"/>
            </w:pPr>
            <w:r w:rsidRPr="00553D53">
              <w:t>7,6</w:t>
            </w:r>
          </w:p>
        </w:tc>
        <w:tc>
          <w:tcPr>
            <w:tcW w:w="2067" w:type="dxa"/>
            <w:noWrap/>
            <w:vAlign w:val="center"/>
            <w:hideMark/>
          </w:tcPr>
          <w:p w:rsidR="00553D53" w:rsidRPr="00553D53" w:rsidRDefault="00553D53" w:rsidP="00553D53">
            <w:pPr>
              <w:jc w:val="center"/>
            </w:pPr>
            <w:r w:rsidRPr="00553D53">
              <w:t>10,0</w:t>
            </w:r>
          </w:p>
        </w:tc>
      </w:tr>
      <w:tr w:rsidR="00553D53" w:rsidRPr="00553D53" w:rsidTr="00744398">
        <w:trPr>
          <w:trHeight w:val="264"/>
        </w:trPr>
        <w:tc>
          <w:tcPr>
            <w:tcW w:w="4110" w:type="dxa"/>
            <w:noWrap/>
            <w:hideMark/>
          </w:tcPr>
          <w:p w:rsidR="00553D53" w:rsidRPr="00553D53" w:rsidRDefault="00553D53" w:rsidP="00553D53">
            <w:pPr>
              <w:jc w:val="both"/>
            </w:pPr>
            <w:r w:rsidRPr="00553D53">
              <w:lastRenderedPageBreak/>
              <w:t>Dayanıksız Tüketim Malı</w:t>
            </w:r>
          </w:p>
        </w:tc>
        <w:tc>
          <w:tcPr>
            <w:tcW w:w="2153" w:type="dxa"/>
            <w:noWrap/>
            <w:vAlign w:val="center"/>
            <w:hideMark/>
          </w:tcPr>
          <w:p w:rsidR="00553D53" w:rsidRPr="00553D53" w:rsidRDefault="00553D53" w:rsidP="00553D53">
            <w:pPr>
              <w:jc w:val="center"/>
            </w:pPr>
            <w:r w:rsidRPr="00553D53">
              <w:t>0,4</w:t>
            </w:r>
          </w:p>
        </w:tc>
        <w:tc>
          <w:tcPr>
            <w:tcW w:w="2067" w:type="dxa"/>
            <w:noWrap/>
            <w:vAlign w:val="center"/>
            <w:hideMark/>
          </w:tcPr>
          <w:p w:rsidR="00553D53" w:rsidRPr="00553D53" w:rsidRDefault="00553D53" w:rsidP="00553D53">
            <w:r w:rsidRPr="00553D53">
              <w:t xml:space="preserve">               -2,8</w:t>
            </w:r>
          </w:p>
        </w:tc>
      </w:tr>
      <w:tr w:rsidR="00553D53" w:rsidRPr="00553D53" w:rsidTr="00744398">
        <w:trPr>
          <w:trHeight w:val="264"/>
        </w:trPr>
        <w:tc>
          <w:tcPr>
            <w:tcW w:w="4110" w:type="dxa"/>
            <w:noWrap/>
            <w:hideMark/>
          </w:tcPr>
          <w:p w:rsidR="00553D53" w:rsidRPr="00553D53" w:rsidRDefault="00553D53" w:rsidP="00553D53">
            <w:pPr>
              <w:jc w:val="both"/>
            </w:pPr>
            <w:r w:rsidRPr="00553D53">
              <w:t>Enerji</w:t>
            </w:r>
          </w:p>
        </w:tc>
        <w:tc>
          <w:tcPr>
            <w:tcW w:w="2153" w:type="dxa"/>
            <w:noWrap/>
            <w:vAlign w:val="center"/>
            <w:hideMark/>
          </w:tcPr>
          <w:p w:rsidR="00553D53" w:rsidRPr="00553D53" w:rsidRDefault="00553D53" w:rsidP="00553D53">
            <w:pPr>
              <w:jc w:val="center"/>
            </w:pPr>
            <w:r w:rsidRPr="00553D53">
              <w:t>-0,3</w:t>
            </w:r>
          </w:p>
        </w:tc>
        <w:tc>
          <w:tcPr>
            <w:tcW w:w="2067" w:type="dxa"/>
            <w:noWrap/>
            <w:vAlign w:val="center"/>
            <w:hideMark/>
          </w:tcPr>
          <w:p w:rsidR="00553D53" w:rsidRPr="00553D53" w:rsidRDefault="00553D53" w:rsidP="00553D53">
            <w:pPr>
              <w:jc w:val="center"/>
            </w:pPr>
            <w:r w:rsidRPr="00553D53">
              <w:t>0,7</w:t>
            </w:r>
          </w:p>
        </w:tc>
      </w:tr>
      <w:tr w:rsidR="00553D53" w:rsidRPr="00553D53" w:rsidTr="00744398">
        <w:trPr>
          <w:trHeight w:val="264"/>
        </w:trPr>
        <w:tc>
          <w:tcPr>
            <w:tcW w:w="4110" w:type="dxa"/>
            <w:noWrap/>
            <w:hideMark/>
          </w:tcPr>
          <w:p w:rsidR="00553D53" w:rsidRPr="00553D53" w:rsidRDefault="00553D53" w:rsidP="00553D53">
            <w:pPr>
              <w:jc w:val="both"/>
            </w:pPr>
            <w:r w:rsidRPr="00553D53">
              <w:t>Sermaye Malı</w:t>
            </w:r>
          </w:p>
        </w:tc>
        <w:tc>
          <w:tcPr>
            <w:tcW w:w="2153" w:type="dxa"/>
            <w:noWrap/>
            <w:vAlign w:val="center"/>
            <w:hideMark/>
          </w:tcPr>
          <w:p w:rsidR="00553D53" w:rsidRPr="00553D53" w:rsidRDefault="00553D53" w:rsidP="00553D53">
            <w:pPr>
              <w:jc w:val="center"/>
            </w:pPr>
            <w:r w:rsidRPr="00553D53">
              <w:t>-0,5</w:t>
            </w:r>
          </w:p>
        </w:tc>
        <w:tc>
          <w:tcPr>
            <w:tcW w:w="2067" w:type="dxa"/>
            <w:noWrap/>
            <w:vAlign w:val="center"/>
            <w:hideMark/>
          </w:tcPr>
          <w:p w:rsidR="00553D53" w:rsidRPr="00553D53" w:rsidRDefault="00553D53" w:rsidP="00553D53">
            <w:pPr>
              <w:jc w:val="center"/>
            </w:pPr>
            <w:r w:rsidRPr="00553D53">
              <w:t>-8,3</w:t>
            </w:r>
          </w:p>
        </w:tc>
      </w:tr>
      <w:tr w:rsidR="00553D53" w:rsidRPr="00553D53" w:rsidTr="00744398">
        <w:trPr>
          <w:trHeight w:val="264"/>
        </w:trPr>
        <w:tc>
          <w:tcPr>
            <w:tcW w:w="4110" w:type="dxa"/>
            <w:noWrap/>
            <w:hideMark/>
          </w:tcPr>
          <w:p w:rsidR="00553D53" w:rsidRPr="00553D53" w:rsidRDefault="00553D53" w:rsidP="00553D53">
            <w:pPr>
              <w:jc w:val="both"/>
              <w:rPr>
                <w:b/>
              </w:rPr>
            </w:pPr>
            <w:r w:rsidRPr="00553D53">
              <w:rPr>
                <w:b/>
              </w:rPr>
              <w:t>TOPLAM</w:t>
            </w:r>
          </w:p>
        </w:tc>
        <w:tc>
          <w:tcPr>
            <w:tcW w:w="2153" w:type="dxa"/>
            <w:noWrap/>
            <w:vAlign w:val="center"/>
            <w:hideMark/>
          </w:tcPr>
          <w:p w:rsidR="00553D53" w:rsidRPr="00553D53" w:rsidRDefault="00553D53" w:rsidP="00553D53">
            <w:pPr>
              <w:jc w:val="center"/>
              <w:rPr>
                <w:b/>
              </w:rPr>
            </w:pPr>
            <w:r w:rsidRPr="00553D53">
              <w:rPr>
                <w:b/>
              </w:rPr>
              <w:t>-0,3</w:t>
            </w:r>
          </w:p>
        </w:tc>
        <w:tc>
          <w:tcPr>
            <w:tcW w:w="2067" w:type="dxa"/>
            <w:noWrap/>
            <w:vAlign w:val="center"/>
            <w:hideMark/>
          </w:tcPr>
          <w:p w:rsidR="00553D53" w:rsidRPr="00553D53" w:rsidRDefault="00553D53" w:rsidP="00553D53">
            <w:pPr>
              <w:jc w:val="center"/>
              <w:rPr>
                <w:b/>
              </w:rPr>
            </w:pPr>
            <w:r w:rsidRPr="00553D53">
              <w:rPr>
                <w:b/>
              </w:rPr>
              <w:t>-6,5</w:t>
            </w:r>
          </w:p>
        </w:tc>
      </w:tr>
      <w:tr w:rsidR="00553D53" w:rsidRPr="00553D53" w:rsidTr="00744398">
        <w:trPr>
          <w:trHeight w:val="264"/>
        </w:trPr>
        <w:tc>
          <w:tcPr>
            <w:tcW w:w="4110" w:type="dxa"/>
            <w:shd w:val="clear" w:color="auto" w:fill="808080" w:themeFill="background1" w:themeFillShade="80"/>
            <w:noWrap/>
            <w:hideMark/>
          </w:tcPr>
          <w:p w:rsidR="00553D53" w:rsidRPr="00553D53" w:rsidRDefault="00553D53" w:rsidP="00553D53">
            <w:pPr>
              <w:jc w:val="both"/>
              <w:rPr>
                <w:b/>
              </w:rPr>
            </w:pPr>
          </w:p>
        </w:tc>
        <w:tc>
          <w:tcPr>
            <w:tcW w:w="2153" w:type="dxa"/>
            <w:shd w:val="clear" w:color="auto" w:fill="808080" w:themeFill="background1" w:themeFillShade="80"/>
            <w:noWrap/>
            <w:hideMark/>
          </w:tcPr>
          <w:p w:rsidR="00553D53" w:rsidRPr="00553D53" w:rsidRDefault="00553D53" w:rsidP="00553D53">
            <w:pPr>
              <w:jc w:val="both"/>
            </w:pPr>
          </w:p>
        </w:tc>
        <w:tc>
          <w:tcPr>
            <w:tcW w:w="2067" w:type="dxa"/>
            <w:shd w:val="clear" w:color="auto" w:fill="808080" w:themeFill="background1" w:themeFillShade="80"/>
            <w:noWrap/>
            <w:hideMark/>
          </w:tcPr>
          <w:p w:rsidR="00553D53" w:rsidRPr="00553D53" w:rsidRDefault="00553D53" w:rsidP="00553D53">
            <w:pPr>
              <w:jc w:val="both"/>
            </w:pPr>
          </w:p>
        </w:tc>
      </w:tr>
      <w:tr w:rsidR="00553D53" w:rsidRPr="00553D53" w:rsidTr="00744398">
        <w:trPr>
          <w:trHeight w:val="264"/>
        </w:trPr>
        <w:tc>
          <w:tcPr>
            <w:tcW w:w="4110" w:type="dxa"/>
            <w:noWrap/>
            <w:hideMark/>
          </w:tcPr>
          <w:p w:rsidR="00553D53" w:rsidRPr="00553D53" w:rsidRDefault="00553D53" w:rsidP="00553D53">
            <w:pPr>
              <w:jc w:val="both"/>
            </w:pPr>
            <w:r w:rsidRPr="00553D53">
              <w:rPr>
                <w:b/>
              </w:rPr>
              <w:t xml:space="preserve">Tablo 2: Sanayi Üretim Endeksi </w:t>
            </w:r>
            <w:proofErr w:type="spellStart"/>
            <w:r w:rsidRPr="00553D53">
              <w:rPr>
                <w:b/>
              </w:rPr>
              <w:t>Sektörel</w:t>
            </w:r>
            <w:proofErr w:type="spellEnd"/>
            <w:r w:rsidRPr="00553D53">
              <w:rPr>
                <w:b/>
              </w:rPr>
              <w:t xml:space="preserve"> Büyüme Oranları, Kasım 2018</w:t>
            </w:r>
          </w:p>
        </w:tc>
        <w:tc>
          <w:tcPr>
            <w:tcW w:w="2153" w:type="dxa"/>
            <w:noWrap/>
            <w:hideMark/>
          </w:tcPr>
          <w:p w:rsidR="00553D53" w:rsidRPr="00553D53" w:rsidRDefault="00553D53" w:rsidP="00553D53">
            <w:pPr>
              <w:jc w:val="both"/>
            </w:pPr>
            <w:r w:rsidRPr="00553D53">
              <w:t>Önceki Aya Göre (%)</w:t>
            </w:r>
          </w:p>
        </w:tc>
        <w:tc>
          <w:tcPr>
            <w:tcW w:w="2067" w:type="dxa"/>
            <w:noWrap/>
            <w:hideMark/>
          </w:tcPr>
          <w:p w:rsidR="00553D53" w:rsidRPr="00553D53" w:rsidRDefault="00553D53" w:rsidP="00553D53">
            <w:pPr>
              <w:jc w:val="both"/>
            </w:pPr>
            <w:r w:rsidRPr="00553D53">
              <w:t>Önceki Yıla Göre (%)</w:t>
            </w:r>
          </w:p>
        </w:tc>
      </w:tr>
      <w:tr w:rsidR="00553D53" w:rsidRPr="00553D53" w:rsidTr="00744398">
        <w:trPr>
          <w:trHeight w:val="264"/>
        </w:trPr>
        <w:tc>
          <w:tcPr>
            <w:tcW w:w="4110" w:type="dxa"/>
            <w:noWrap/>
            <w:hideMark/>
          </w:tcPr>
          <w:p w:rsidR="00553D53" w:rsidRPr="00553D53" w:rsidRDefault="00553D53" w:rsidP="00553D53">
            <w:r w:rsidRPr="00553D53">
              <w:t xml:space="preserve">Madencilik ve </w:t>
            </w:r>
            <w:proofErr w:type="spellStart"/>
            <w:r w:rsidRPr="00553D53">
              <w:t>Taşocakçılığı</w:t>
            </w:r>
            <w:proofErr w:type="spellEnd"/>
          </w:p>
        </w:tc>
        <w:tc>
          <w:tcPr>
            <w:tcW w:w="2153" w:type="dxa"/>
            <w:noWrap/>
            <w:vAlign w:val="center"/>
            <w:hideMark/>
          </w:tcPr>
          <w:p w:rsidR="00553D53" w:rsidRPr="00553D53" w:rsidRDefault="00553D53" w:rsidP="00553D53">
            <w:pPr>
              <w:jc w:val="center"/>
            </w:pPr>
            <w:r w:rsidRPr="00553D53">
              <w:t>-3,7</w:t>
            </w:r>
          </w:p>
        </w:tc>
        <w:tc>
          <w:tcPr>
            <w:tcW w:w="2067" w:type="dxa"/>
            <w:noWrap/>
            <w:vAlign w:val="center"/>
            <w:hideMark/>
          </w:tcPr>
          <w:p w:rsidR="00553D53" w:rsidRPr="00553D53" w:rsidRDefault="00553D53" w:rsidP="00553D53">
            <w:pPr>
              <w:jc w:val="center"/>
            </w:pPr>
            <w:r w:rsidRPr="00553D53">
              <w:t>-1,1</w:t>
            </w:r>
          </w:p>
        </w:tc>
      </w:tr>
      <w:tr w:rsidR="00553D53" w:rsidRPr="00553D53" w:rsidTr="00744398">
        <w:trPr>
          <w:trHeight w:val="264"/>
        </w:trPr>
        <w:tc>
          <w:tcPr>
            <w:tcW w:w="4110" w:type="dxa"/>
            <w:noWrap/>
            <w:hideMark/>
          </w:tcPr>
          <w:p w:rsidR="00553D53" w:rsidRPr="00553D53" w:rsidRDefault="00553D53" w:rsidP="00553D53">
            <w:pPr>
              <w:jc w:val="both"/>
            </w:pPr>
            <w:r w:rsidRPr="00553D53">
              <w:t>İmalat Sanayi</w:t>
            </w:r>
          </w:p>
        </w:tc>
        <w:tc>
          <w:tcPr>
            <w:tcW w:w="2153" w:type="dxa"/>
            <w:noWrap/>
            <w:vAlign w:val="center"/>
            <w:hideMark/>
          </w:tcPr>
          <w:p w:rsidR="00553D53" w:rsidRPr="00553D53" w:rsidRDefault="00553D53" w:rsidP="00553D53">
            <w:pPr>
              <w:jc w:val="center"/>
            </w:pPr>
            <w:r w:rsidRPr="00553D53">
              <w:t>-0,1</w:t>
            </w:r>
          </w:p>
        </w:tc>
        <w:tc>
          <w:tcPr>
            <w:tcW w:w="2067" w:type="dxa"/>
            <w:noWrap/>
            <w:vAlign w:val="center"/>
            <w:hideMark/>
          </w:tcPr>
          <w:p w:rsidR="00553D53" w:rsidRPr="00553D53" w:rsidRDefault="00553D53" w:rsidP="00553D53">
            <w:pPr>
              <w:jc w:val="center"/>
            </w:pPr>
            <w:r w:rsidRPr="00553D53">
              <w:t>-7,1</w:t>
            </w:r>
          </w:p>
        </w:tc>
      </w:tr>
      <w:tr w:rsidR="00553D53" w:rsidRPr="00553D53" w:rsidTr="00744398">
        <w:trPr>
          <w:trHeight w:val="264"/>
        </w:trPr>
        <w:tc>
          <w:tcPr>
            <w:tcW w:w="4110" w:type="dxa"/>
            <w:noWrap/>
            <w:hideMark/>
          </w:tcPr>
          <w:p w:rsidR="00553D53" w:rsidRPr="00553D53" w:rsidRDefault="00553D53" w:rsidP="00553D53">
            <w:pPr>
              <w:jc w:val="both"/>
            </w:pPr>
            <w:r w:rsidRPr="00553D53">
              <w:t>Elektrik, Gaz, Buhar ve İklimlendirme Üretimi ve Dağıtımı</w:t>
            </w:r>
          </w:p>
        </w:tc>
        <w:tc>
          <w:tcPr>
            <w:tcW w:w="2153" w:type="dxa"/>
            <w:noWrap/>
            <w:vAlign w:val="center"/>
            <w:hideMark/>
          </w:tcPr>
          <w:p w:rsidR="00553D53" w:rsidRPr="00553D53" w:rsidRDefault="00553D53" w:rsidP="00553D53">
            <w:pPr>
              <w:jc w:val="center"/>
            </w:pPr>
            <w:r w:rsidRPr="00553D53">
              <w:t>0,0</w:t>
            </w:r>
          </w:p>
        </w:tc>
        <w:tc>
          <w:tcPr>
            <w:tcW w:w="2067" w:type="dxa"/>
            <w:noWrap/>
            <w:vAlign w:val="center"/>
            <w:hideMark/>
          </w:tcPr>
          <w:p w:rsidR="00553D53" w:rsidRPr="00553D53" w:rsidRDefault="00553D53" w:rsidP="00553D53">
            <w:pPr>
              <w:jc w:val="center"/>
            </w:pPr>
            <w:r w:rsidRPr="00553D53">
              <w:t>-1,8</w:t>
            </w:r>
          </w:p>
        </w:tc>
      </w:tr>
      <w:tr w:rsidR="00553D53" w:rsidRPr="00553D53" w:rsidTr="00744398">
        <w:trPr>
          <w:trHeight w:val="264"/>
        </w:trPr>
        <w:tc>
          <w:tcPr>
            <w:tcW w:w="4110" w:type="dxa"/>
            <w:noWrap/>
            <w:hideMark/>
          </w:tcPr>
          <w:p w:rsidR="00553D53" w:rsidRPr="00553D53" w:rsidRDefault="00553D53" w:rsidP="00553D53">
            <w:pPr>
              <w:jc w:val="both"/>
              <w:rPr>
                <w:b/>
              </w:rPr>
            </w:pPr>
            <w:r w:rsidRPr="00553D53">
              <w:rPr>
                <w:b/>
              </w:rPr>
              <w:t>TOPLAM</w:t>
            </w:r>
          </w:p>
        </w:tc>
        <w:tc>
          <w:tcPr>
            <w:tcW w:w="2153" w:type="dxa"/>
            <w:noWrap/>
            <w:vAlign w:val="center"/>
            <w:hideMark/>
          </w:tcPr>
          <w:p w:rsidR="00553D53" w:rsidRPr="00553D53" w:rsidRDefault="00553D53" w:rsidP="00553D53">
            <w:pPr>
              <w:jc w:val="center"/>
              <w:rPr>
                <w:b/>
              </w:rPr>
            </w:pPr>
            <w:r w:rsidRPr="00553D53">
              <w:rPr>
                <w:b/>
              </w:rPr>
              <w:t>-0,3</w:t>
            </w:r>
          </w:p>
        </w:tc>
        <w:tc>
          <w:tcPr>
            <w:tcW w:w="2067" w:type="dxa"/>
            <w:noWrap/>
            <w:vAlign w:val="center"/>
            <w:hideMark/>
          </w:tcPr>
          <w:p w:rsidR="00553D53" w:rsidRPr="00553D53" w:rsidRDefault="00553D53" w:rsidP="00553D53">
            <w:pPr>
              <w:jc w:val="center"/>
              <w:rPr>
                <w:b/>
              </w:rPr>
            </w:pPr>
            <w:r w:rsidRPr="00553D53">
              <w:rPr>
                <w:b/>
              </w:rPr>
              <w:t>-6,5</w:t>
            </w:r>
          </w:p>
        </w:tc>
      </w:tr>
      <w:tr w:rsidR="00553D53" w:rsidRPr="00553D53" w:rsidTr="00744398">
        <w:trPr>
          <w:trHeight w:val="264"/>
        </w:trPr>
        <w:tc>
          <w:tcPr>
            <w:tcW w:w="4110" w:type="dxa"/>
            <w:shd w:val="clear" w:color="auto" w:fill="808080" w:themeFill="background1" w:themeFillShade="80"/>
            <w:noWrap/>
          </w:tcPr>
          <w:p w:rsidR="00553D53" w:rsidRPr="00553D53" w:rsidRDefault="00553D53" w:rsidP="00553D53">
            <w:pPr>
              <w:jc w:val="both"/>
              <w:rPr>
                <w:b/>
              </w:rPr>
            </w:pPr>
          </w:p>
        </w:tc>
        <w:tc>
          <w:tcPr>
            <w:tcW w:w="2153" w:type="dxa"/>
            <w:shd w:val="clear" w:color="auto" w:fill="808080" w:themeFill="background1" w:themeFillShade="80"/>
            <w:noWrap/>
            <w:vAlign w:val="center"/>
          </w:tcPr>
          <w:p w:rsidR="00553D53" w:rsidRPr="00553D53" w:rsidRDefault="00553D53" w:rsidP="00553D53">
            <w:pPr>
              <w:jc w:val="center"/>
              <w:rPr>
                <w:b/>
              </w:rPr>
            </w:pPr>
          </w:p>
        </w:tc>
        <w:tc>
          <w:tcPr>
            <w:tcW w:w="2067" w:type="dxa"/>
            <w:shd w:val="clear" w:color="auto" w:fill="808080" w:themeFill="background1" w:themeFillShade="80"/>
            <w:noWrap/>
            <w:vAlign w:val="center"/>
          </w:tcPr>
          <w:p w:rsidR="00553D53" w:rsidRPr="00553D53" w:rsidRDefault="00553D53" w:rsidP="00553D53">
            <w:pPr>
              <w:jc w:val="center"/>
              <w:rPr>
                <w:b/>
              </w:rPr>
            </w:pPr>
          </w:p>
        </w:tc>
      </w:tr>
      <w:tr w:rsidR="00553D53" w:rsidRPr="00553D53" w:rsidTr="00744398">
        <w:trPr>
          <w:trHeight w:val="264"/>
        </w:trPr>
        <w:tc>
          <w:tcPr>
            <w:tcW w:w="4110" w:type="dxa"/>
            <w:noWrap/>
          </w:tcPr>
          <w:p w:rsidR="00553D53" w:rsidRPr="00553D53" w:rsidRDefault="00553D53" w:rsidP="00553D53">
            <w:pPr>
              <w:jc w:val="both"/>
              <w:rPr>
                <w:b/>
              </w:rPr>
            </w:pPr>
            <w:r w:rsidRPr="00553D53">
              <w:rPr>
                <w:b/>
              </w:rPr>
              <w:t>Tablo 3. Sanayi Üretim Endeksi Teknoloji Sınıflarına Göre Büyüme Oranları, Kasım 2018</w:t>
            </w:r>
          </w:p>
        </w:tc>
        <w:tc>
          <w:tcPr>
            <w:tcW w:w="2153" w:type="dxa"/>
            <w:noWrap/>
          </w:tcPr>
          <w:p w:rsidR="00553D53" w:rsidRPr="00553D53" w:rsidRDefault="00553D53" w:rsidP="00553D53">
            <w:pPr>
              <w:jc w:val="both"/>
            </w:pPr>
            <w:r w:rsidRPr="00553D53">
              <w:t>Önceki Aya Göre (%)</w:t>
            </w:r>
          </w:p>
        </w:tc>
        <w:tc>
          <w:tcPr>
            <w:tcW w:w="2067" w:type="dxa"/>
            <w:noWrap/>
          </w:tcPr>
          <w:p w:rsidR="00553D53" w:rsidRPr="00553D53" w:rsidRDefault="00553D53" w:rsidP="00553D53">
            <w:pPr>
              <w:jc w:val="both"/>
            </w:pPr>
            <w:r w:rsidRPr="00553D53">
              <w:t>Önceki Yıla Göre (%)</w:t>
            </w:r>
          </w:p>
        </w:tc>
      </w:tr>
      <w:tr w:rsidR="00553D53" w:rsidRPr="00553D53" w:rsidTr="00744398">
        <w:trPr>
          <w:trHeight w:val="264"/>
        </w:trPr>
        <w:tc>
          <w:tcPr>
            <w:tcW w:w="4110" w:type="dxa"/>
            <w:noWrap/>
          </w:tcPr>
          <w:p w:rsidR="00553D53" w:rsidRPr="00553D53" w:rsidRDefault="00553D53" w:rsidP="00553D53">
            <w:pPr>
              <w:jc w:val="both"/>
            </w:pPr>
            <w:r w:rsidRPr="00553D53">
              <w:t>Düşük Teknoloji</w:t>
            </w:r>
          </w:p>
        </w:tc>
        <w:tc>
          <w:tcPr>
            <w:tcW w:w="2153" w:type="dxa"/>
            <w:noWrap/>
            <w:vAlign w:val="center"/>
          </w:tcPr>
          <w:p w:rsidR="00553D53" w:rsidRPr="00553D53" w:rsidRDefault="00553D53" w:rsidP="00553D53">
            <w:pPr>
              <w:jc w:val="center"/>
            </w:pPr>
            <w:r w:rsidRPr="00553D53">
              <w:t>0,9</w:t>
            </w:r>
          </w:p>
        </w:tc>
        <w:tc>
          <w:tcPr>
            <w:tcW w:w="2067" w:type="dxa"/>
            <w:noWrap/>
            <w:vAlign w:val="center"/>
          </w:tcPr>
          <w:p w:rsidR="00553D53" w:rsidRPr="00553D53" w:rsidRDefault="00553D53" w:rsidP="00553D53">
            <w:pPr>
              <w:jc w:val="center"/>
            </w:pPr>
            <w:r w:rsidRPr="00553D53">
              <w:t>-3,5</w:t>
            </w:r>
          </w:p>
        </w:tc>
      </w:tr>
      <w:tr w:rsidR="00553D53" w:rsidRPr="00553D53" w:rsidTr="00744398">
        <w:trPr>
          <w:trHeight w:val="264"/>
        </w:trPr>
        <w:tc>
          <w:tcPr>
            <w:tcW w:w="4110" w:type="dxa"/>
            <w:noWrap/>
          </w:tcPr>
          <w:p w:rsidR="00553D53" w:rsidRPr="00553D53" w:rsidRDefault="00553D53" w:rsidP="00553D53">
            <w:pPr>
              <w:jc w:val="both"/>
            </w:pPr>
            <w:r w:rsidRPr="00553D53">
              <w:t>Orta Düşük Teknoloji</w:t>
            </w:r>
          </w:p>
        </w:tc>
        <w:tc>
          <w:tcPr>
            <w:tcW w:w="2153" w:type="dxa"/>
            <w:noWrap/>
            <w:vAlign w:val="center"/>
          </w:tcPr>
          <w:p w:rsidR="00553D53" w:rsidRPr="00553D53" w:rsidRDefault="00553D53" w:rsidP="00553D53">
            <w:pPr>
              <w:jc w:val="center"/>
            </w:pPr>
            <w:r w:rsidRPr="00553D53">
              <w:t>-2,4</w:t>
            </w:r>
          </w:p>
        </w:tc>
        <w:tc>
          <w:tcPr>
            <w:tcW w:w="2067" w:type="dxa"/>
            <w:noWrap/>
            <w:vAlign w:val="center"/>
          </w:tcPr>
          <w:p w:rsidR="00553D53" w:rsidRPr="00553D53" w:rsidRDefault="00553D53" w:rsidP="00553D53">
            <w:pPr>
              <w:jc w:val="center"/>
            </w:pPr>
            <w:r w:rsidRPr="00553D53">
              <w:t>-14,2</w:t>
            </w:r>
          </w:p>
        </w:tc>
      </w:tr>
      <w:tr w:rsidR="00553D53" w:rsidRPr="00553D53" w:rsidTr="00744398">
        <w:trPr>
          <w:trHeight w:val="264"/>
        </w:trPr>
        <w:tc>
          <w:tcPr>
            <w:tcW w:w="4110" w:type="dxa"/>
            <w:noWrap/>
          </w:tcPr>
          <w:p w:rsidR="00553D53" w:rsidRPr="00553D53" w:rsidRDefault="00553D53" w:rsidP="00553D53">
            <w:pPr>
              <w:jc w:val="both"/>
            </w:pPr>
            <w:r w:rsidRPr="00553D53">
              <w:t>Orta Yüksek Teknoloji</w:t>
            </w:r>
          </w:p>
        </w:tc>
        <w:tc>
          <w:tcPr>
            <w:tcW w:w="2153" w:type="dxa"/>
            <w:noWrap/>
            <w:vAlign w:val="center"/>
          </w:tcPr>
          <w:p w:rsidR="00553D53" w:rsidRPr="00553D53" w:rsidRDefault="00553D53" w:rsidP="00553D53">
            <w:pPr>
              <w:jc w:val="center"/>
            </w:pPr>
            <w:r w:rsidRPr="00553D53">
              <w:t>2,1</w:t>
            </w:r>
          </w:p>
        </w:tc>
        <w:tc>
          <w:tcPr>
            <w:tcW w:w="2067" w:type="dxa"/>
            <w:noWrap/>
            <w:vAlign w:val="center"/>
          </w:tcPr>
          <w:p w:rsidR="00553D53" w:rsidRPr="00553D53" w:rsidRDefault="00553D53" w:rsidP="00553D53">
            <w:r w:rsidRPr="00553D53">
              <w:t xml:space="preserve">                -7,6</w:t>
            </w:r>
          </w:p>
        </w:tc>
      </w:tr>
      <w:tr w:rsidR="00553D53" w:rsidRPr="00553D53" w:rsidTr="00744398">
        <w:trPr>
          <w:trHeight w:val="264"/>
        </w:trPr>
        <w:tc>
          <w:tcPr>
            <w:tcW w:w="4110" w:type="dxa"/>
            <w:noWrap/>
          </w:tcPr>
          <w:p w:rsidR="00553D53" w:rsidRPr="00553D53" w:rsidRDefault="00553D53" w:rsidP="00553D53">
            <w:pPr>
              <w:jc w:val="both"/>
            </w:pPr>
            <w:r w:rsidRPr="00553D53">
              <w:t>Yüksek Teknoloji</w:t>
            </w:r>
          </w:p>
        </w:tc>
        <w:tc>
          <w:tcPr>
            <w:tcW w:w="2153" w:type="dxa"/>
            <w:noWrap/>
            <w:vAlign w:val="center"/>
          </w:tcPr>
          <w:p w:rsidR="00553D53" w:rsidRPr="00553D53" w:rsidRDefault="00553D53" w:rsidP="00553D53">
            <w:pPr>
              <w:jc w:val="center"/>
            </w:pPr>
            <w:r w:rsidRPr="00553D53">
              <w:t>-3,5</w:t>
            </w:r>
          </w:p>
        </w:tc>
        <w:tc>
          <w:tcPr>
            <w:tcW w:w="2067" w:type="dxa"/>
            <w:noWrap/>
            <w:vAlign w:val="center"/>
          </w:tcPr>
          <w:p w:rsidR="00553D53" w:rsidRPr="00553D53" w:rsidRDefault="00553D53" w:rsidP="00553D53">
            <w:pPr>
              <w:jc w:val="center"/>
            </w:pPr>
            <w:r w:rsidRPr="00553D53">
              <w:t>5,9</w:t>
            </w:r>
          </w:p>
        </w:tc>
      </w:tr>
      <w:tr w:rsidR="00553D53" w:rsidRPr="00553D53" w:rsidTr="00744398">
        <w:trPr>
          <w:trHeight w:val="264"/>
        </w:trPr>
        <w:tc>
          <w:tcPr>
            <w:tcW w:w="4110" w:type="dxa"/>
            <w:noWrap/>
          </w:tcPr>
          <w:p w:rsidR="00553D53" w:rsidRPr="00553D53" w:rsidRDefault="00553D53" w:rsidP="00553D53">
            <w:pPr>
              <w:jc w:val="both"/>
              <w:rPr>
                <w:b/>
              </w:rPr>
            </w:pPr>
            <w:r w:rsidRPr="00553D53">
              <w:rPr>
                <w:b/>
              </w:rPr>
              <w:t>TOPLAM</w:t>
            </w:r>
          </w:p>
        </w:tc>
        <w:tc>
          <w:tcPr>
            <w:tcW w:w="2153" w:type="dxa"/>
            <w:noWrap/>
            <w:vAlign w:val="center"/>
          </w:tcPr>
          <w:p w:rsidR="00553D53" w:rsidRPr="00553D53" w:rsidRDefault="00553D53" w:rsidP="00553D53">
            <w:pPr>
              <w:jc w:val="center"/>
              <w:rPr>
                <w:b/>
              </w:rPr>
            </w:pPr>
            <w:r w:rsidRPr="00553D53">
              <w:rPr>
                <w:b/>
              </w:rPr>
              <w:t>-0,3</w:t>
            </w:r>
          </w:p>
        </w:tc>
        <w:tc>
          <w:tcPr>
            <w:tcW w:w="2067" w:type="dxa"/>
            <w:noWrap/>
            <w:vAlign w:val="center"/>
          </w:tcPr>
          <w:p w:rsidR="00553D53" w:rsidRPr="00553D53" w:rsidRDefault="00553D53" w:rsidP="00553D53">
            <w:pPr>
              <w:jc w:val="center"/>
              <w:rPr>
                <w:b/>
              </w:rPr>
            </w:pPr>
            <w:r w:rsidRPr="00553D53">
              <w:rPr>
                <w:b/>
              </w:rPr>
              <w:t>-6,5</w:t>
            </w:r>
          </w:p>
        </w:tc>
      </w:tr>
    </w:tbl>
    <w:p w:rsidR="00553D53" w:rsidRPr="00553D53" w:rsidRDefault="00553D53" w:rsidP="00553D53">
      <w:pPr>
        <w:jc w:val="both"/>
        <w:rPr>
          <w:rFonts w:eastAsiaTheme="minorEastAsia"/>
          <w:lang w:eastAsia="tr-TR"/>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63"/>
        <w:gridCol w:w="4236"/>
      </w:tblGrid>
      <w:tr w:rsidR="00553D53" w:rsidRPr="00553D53" w:rsidTr="00744398">
        <w:trPr>
          <w:trHeight w:val="915"/>
        </w:trPr>
        <w:tc>
          <w:tcPr>
            <w:tcW w:w="5644" w:type="dxa"/>
            <w:vAlign w:val="center"/>
          </w:tcPr>
          <w:p w:rsidR="00553D53" w:rsidRPr="00553D53" w:rsidRDefault="00553D53" w:rsidP="00553D53">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553D53">
              <w:rPr>
                <w:rFonts w:asciiTheme="majorHAnsi" w:eastAsiaTheme="majorEastAsia" w:hAnsiTheme="majorHAnsi" w:cstheme="majorBidi"/>
                <w:sz w:val="36"/>
                <w:szCs w:val="36"/>
                <w:lang w:eastAsia="tr-TR"/>
              </w:rPr>
              <w:t xml:space="preserve">2018 Kasım </w:t>
            </w:r>
          </w:p>
          <w:p w:rsidR="00553D53" w:rsidRPr="00553D53" w:rsidRDefault="00553D53" w:rsidP="00553D53">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553D53">
              <w:rPr>
                <w:rFonts w:asciiTheme="majorHAnsi" w:eastAsiaTheme="majorEastAsia" w:hAnsiTheme="majorHAnsi" w:cstheme="majorBidi"/>
                <w:sz w:val="36"/>
                <w:szCs w:val="36"/>
                <w:lang w:eastAsia="tr-TR"/>
              </w:rPr>
              <w:t>SANAYİ ÜRETİM ENDEKSİ</w:t>
            </w:r>
          </w:p>
        </w:tc>
        <w:tc>
          <w:tcPr>
            <w:tcW w:w="4678" w:type="dxa"/>
          </w:tcPr>
          <w:p w:rsidR="00553D53" w:rsidRPr="00553D53" w:rsidRDefault="00553D53" w:rsidP="00553D53">
            <w:pPr>
              <w:tabs>
                <w:tab w:val="center" w:pos="4536"/>
                <w:tab w:val="right" w:pos="9072"/>
              </w:tabs>
              <w:spacing w:after="0"/>
              <w:jc w:val="center"/>
              <w:rPr>
                <w:rFonts w:asciiTheme="majorHAnsi" w:eastAsiaTheme="majorEastAsia" w:hAnsiTheme="majorHAnsi" w:cstheme="majorBidi"/>
                <w:b/>
                <w:bCs/>
                <w:color w:val="4F81BD" w:themeColor="accent1"/>
                <w:sz w:val="36"/>
                <w:szCs w:val="36"/>
                <w:lang w:eastAsia="tr-TR"/>
              </w:rPr>
            </w:pPr>
            <w:r w:rsidRPr="00553D53">
              <w:rPr>
                <w:rFonts w:asciiTheme="majorHAnsi" w:eastAsiaTheme="majorEastAsia" w:hAnsiTheme="majorHAnsi" w:cstheme="majorBidi"/>
                <w:bCs/>
                <w:sz w:val="28"/>
                <w:szCs w:val="36"/>
                <w:lang w:eastAsia="tr-TR"/>
              </w:rPr>
              <w:t xml:space="preserve">14 Ocak 2019  </w:t>
            </w:r>
            <w:r w:rsidRPr="00553D53">
              <w:rPr>
                <w:rFonts w:asciiTheme="majorHAnsi" w:eastAsiaTheme="majorEastAsia" w:hAnsiTheme="majorHAnsi" w:cstheme="majorBidi"/>
                <w:b/>
                <w:bCs/>
                <w:noProof/>
                <w:color w:val="4F81BD" w:themeColor="accent1"/>
                <w:sz w:val="36"/>
                <w:szCs w:val="36"/>
                <w:lang w:eastAsia="tr-TR"/>
              </w:rPr>
              <w:drawing>
                <wp:inline distT="0" distB="0" distL="0" distR="0" wp14:anchorId="3E2EF1AE" wp14:editId="29FA818B">
                  <wp:extent cx="892754" cy="533400"/>
                  <wp:effectExtent l="0" t="0" r="0" b="0"/>
                  <wp:docPr id="21" name="Resim 21"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Pr="00553D53">
              <w:rPr>
                <w:rFonts w:asciiTheme="majorHAnsi" w:eastAsiaTheme="majorEastAsia" w:hAnsiTheme="majorHAnsi" w:cstheme="majorBidi"/>
                <w:bCs/>
                <w:sz w:val="28"/>
                <w:szCs w:val="36"/>
                <w:lang w:eastAsia="tr-TR"/>
              </w:rPr>
              <w:t xml:space="preserve">              </w:t>
            </w:r>
          </w:p>
        </w:tc>
      </w:tr>
    </w:tbl>
    <w:p w:rsidR="00553D53" w:rsidRPr="00553D53" w:rsidRDefault="00553D53" w:rsidP="00553D53">
      <w:pPr>
        <w:tabs>
          <w:tab w:val="center" w:pos="4536"/>
          <w:tab w:val="right" w:pos="9072"/>
        </w:tabs>
        <w:spacing w:after="0" w:line="240" w:lineRule="auto"/>
        <w:rPr>
          <w:rFonts w:eastAsiaTheme="minorEastAsia"/>
          <w:lang w:eastAsia="tr-TR"/>
        </w:rPr>
      </w:pPr>
    </w:p>
    <w:p w:rsidR="00553D53" w:rsidRPr="00553D53" w:rsidRDefault="00553D53" w:rsidP="00553D53">
      <w:pPr>
        <w:rPr>
          <w:rFonts w:eastAsiaTheme="minorEastAsia"/>
          <w:b/>
          <w:lang w:eastAsia="tr-TR"/>
        </w:rPr>
      </w:pPr>
      <w:r w:rsidRPr="00553D53">
        <w:rPr>
          <w:rFonts w:eastAsiaTheme="minorEastAsia"/>
          <w:b/>
          <w:lang w:eastAsia="tr-TR"/>
        </w:rPr>
        <w:t>Kasım 2018 Sanayi Üretim Endeksi’ne ilişkin veriler Türkiye İstatistik Kurumu (TÜİK) tarafından 14 Ocak 2019 tarihinde yayımlandı.</w:t>
      </w:r>
    </w:p>
    <w:p w:rsidR="00553D53" w:rsidRPr="00553D53" w:rsidRDefault="00553D53" w:rsidP="00553D53">
      <w:pPr>
        <w:rPr>
          <w:rFonts w:eastAsiaTheme="minorEastAsia"/>
          <w:lang w:eastAsia="tr-TR"/>
        </w:rPr>
      </w:pPr>
      <w:r w:rsidRPr="00553D53">
        <w:rPr>
          <w:rFonts w:eastAsiaTheme="minorEastAsia"/>
          <w:lang w:eastAsia="tr-TR"/>
        </w:rPr>
        <w:t>TÜİK tarafından aylık yayımlanan Sanayi Üretim Endeksi, Türkiye’deki sanayi kuruluşlarının toplam üretiminin zaman içindeki değişimi hakkında bilgi vermektedir.</w:t>
      </w:r>
      <w:r w:rsidRPr="00553D53">
        <w:rPr>
          <w:rFonts w:eastAsiaTheme="minorEastAsia"/>
          <w:vertAlign w:val="superscript"/>
          <w:lang w:eastAsia="tr-TR"/>
        </w:rPr>
        <w:footnoteReference w:id="3"/>
      </w:r>
    </w:p>
    <w:p w:rsidR="00553D53" w:rsidRPr="00553D53" w:rsidRDefault="00553D53" w:rsidP="00553D53">
      <w:pPr>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 xml:space="preserve">Şekil 1: Aylara göre sanayi üretim endeksi </w:t>
      </w:r>
    </w:p>
    <w:p w:rsidR="00553D53" w:rsidRPr="00553D53" w:rsidRDefault="00553D53" w:rsidP="00553D53">
      <w:pPr>
        <w:ind w:firstLine="720"/>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(mevsim ve takvim etkilerinden arındırılmış, 2015=100)</w:t>
      </w:r>
    </w:p>
    <w:p w:rsidR="00553D53" w:rsidRPr="00553D53" w:rsidRDefault="00553D53" w:rsidP="00553D53">
      <w:pPr>
        <w:jc w:val="both"/>
        <w:outlineLvl w:val="1"/>
        <w:rPr>
          <w:rFonts w:eastAsia="Times New Roman" w:cs="Times New Roman"/>
          <w:b/>
          <w:bCs/>
          <w:kern w:val="36"/>
          <w:sz w:val="28"/>
          <w:szCs w:val="24"/>
          <w:lang w:eastAsia="tr-TR"/>
        </w:rPr>
      </w:pPr>
      <w:r w:rsidRPr="00553D53">
        <w:rPr>
          <w:rFonts w:eastAsiaTheme="minorEastAsia"/>
          <w:noProof/>
          <w:lang w:eastAsia="tr-TR"/>
        </w:rPr>
        <w:lastRenderedPageBreak/>
        <w:drawing>
          <wp:inline distT="0" distB="0" distL="0" distR="0" wp14:anchorId="0A488977" wp14:editId="1BCE5726">
            <wp:extent cx="5972810" cy="2225040"/>
            <wp:effectExtent l="0" t="0" r="27940" b="22860"/>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53D53" w:rsidRPr="00553D53" w:rsidRDefault="00553D53" w:rsidP="00553D53">
      <w:pPr>
        <w:jc w:val="both"/>
        <w:rPr>
          <w:rFonts w:eastAsiaTheme="minorEastAsia"/>
          <w:lang w:eastAsia="tr-TR"/>
        </w:rPr>
      </w:pPr>
      <w:r w:rsidRPr="00553D53">
        <w:rPr>
          <w:rFonts w:eastAsiaTheme="minorEastAsia"/>
          <w:lang w:eastAsia="tr-TR"/>
        </w:rPr>
        <w:t xml:space="preserve">Kasım ayında Türkiye (TR) Geneli Sanayi Üretim Endeksi </w:t>
      </w:r>
      <w:r w:rsidRPr="00553D53">
        <w:rPr>
          <w:rFonts w:eastAsiaTheme="minorEastAsia"/>
          <w:b/>
          <w:u w:val="single"/>
          <w:lang w:eastAsia="tr-TR"/>
        </w:rPr>
        <w:t>bir önceki aya (Ekim 2018) göre</w:t>
      </w:r>
      <w:r w:rsidRPr="00553D53">
        <w:rPr>
          <w:rFonts w:eastAsiaTheme="minorEastAsia"/>
          <w:lang w:eastAsia="tr-TR"/>
        </w:rPr>
        <w:t xml:space="preserve"> yüzde 0,3 azalış göstermiştir. Kasım (2018) ayındaki azalışta bir önceki aya göre madencilik ve </w:t>
      </w:r>
      <w:proofErr w:type="spellStart"/>
      <w:r w:rsidRPr="00553D53">
        <w:rPr>
          <w:rFonts w:eastAsiaTheme="minorEastAsia"/>
          <w:lang w:eastAsia="tr-TR"/>
        </w:rPr>
        <w:t>taşocakçılığı</w:t>
      </w:r>
      <w:proofErr w:type="spellEnd"/>
      <w:r w:rsidRPr="00553D53">
        <w:rPr>
          <w:rFonts w:eastAsiaTheme="minorEastAsia"/>
          <w:lang w:eastAsia="tr-TR"/>
        </w:rPr>
        <w:t xml:space="preserve"> sektöründeki 3,7’lik ve imalat sanayi sektöründeki yüzde 0,1’lik azalışın etkili olduğu görülmektedir. Elektrik, gaz, buhar ve iklimlendirme üretimi ve dağıtımı sektöründe ise değişim yaşanmamıştır.</w:t>
      </w:r>
    </w:p>
    <w:p w:rsidR="00553D53" w:rsidRPr="00553D53" w:rsidRDefault="00553D53" w:rsidP="00553D53">
      <w:pPr>
        <w:jc w:val="both"/>
        <w:rPr>
          <w:rFonts w:eastAsiaTheme="minorEastAsia"/>
          <w:lang w:eastAsia="tr-TR"/>
        </w:rPr>
      </w:pPr>
      <w:r w:rsidRPr="00553D53">
        <w:rPr>
          <w:rFonts w:eastAsiaTheme="minorEastAsia"/>
          <w:lang w:eastAsia="tr-TR"/>
        </w:rPr>
        <w:t>Ana sanayi gruplarına bakıldığında toplam sanayi endeksindeki azalışta ara malı, sermaye malı ve enerji sektöründe yaşanan azalışın etkisi olduğu görülmektedir (sırasıyla yüzde 1,6’lık, 0,5’lik ve 0,3’lük azalışlar).</w:t>
      </w:r>
    </w:p>
    <w:p w:rsidR="00553D53" w:rsidRPr="00553D53" w:rsidRDefault="00553D53" w:rsidP="00553D53">
      <w:pPr>
        <w:jc w:val="both"/>
        <w:rPr>
          <w:rFonts w:eastAsiaTheme="minorEastAsia"/>
          <w:lang w:eastAsia="tr-TR"/>
        </w:rPr>
      </w:pPr>
      <w:r w:rsidRPr="00553D53">
        <w:rPr>
          <w:rFonts w:eastAsiaTheme="minorEastAsia"/>
          <w:lang w:eastAsia="tr-TR"/>
        </w:rPr>
        <w:t xml:space="preserve">Teknoloji sınıflarına bakıldığında bir önceki aya göre orta yüksek teknolojili üretimde yüzde 2,1’lik ve düşük teknolojili üretimde yüzde 0,9’luk artış olduğu görülmektedir. Yüksek teknolojili üretimde yüzde 3,5’lik ve orta düşük teknolojili üretimde 2,4’lük azalış yaşanmıştır.  </w:t>
      </w:r>
    </w:p>
    <w:p w:rsidR="00553D53" w:rsidRPr="00553D53" w:rsidRDefault="00553D53" w:rsidP="00553D53">
      <w:pPr>
        <w:jc w:val="both"/>
        <w:outlineLvl w:val="1"/>
        <w:rPr>
          <w:rFonts w:eastAsia="Times New Roman" w:cs="Times New Roman"/>
          <w:b/>
          <w:bCs/>
          <w:kern w:val="36"/>
          <w:sz w:val="24"/>
          <w:szCs w:val="24"/>
          <w:lang w:eastAsia="tr-TR"/>
        </w:rPr>
      </w:pPr>
    </w:p>
    <w:p w:rsidR="00553D53" w:rsidRPr="00553D53" w:rsidRDefault="00553D53" w:rsidP="00553D53">
      <w:pPr>
        <w:jc w:val="both"/>
        <w:outlineLvl w:val="1"/>
        <w:rPr>
          <w:rFonts w:eastAsia="Times New Roman" w:cs="Times New Roman"/>
          <w:b/>
          <w:bCs/>
          <w:kern w:val="36"/>
          <w:sz w:val="24"/>
          <w:szCs w:val="24"/>
          <w:lang w:eastAsia="tr-TR"/>
        </w:rPr>
      </w:pPr>
    </w:p>
    <w:p w:rsidR="00553D53" w:rsidRPr="00553D53" w:rsidRDefault="00553D53" w:rsidP="00553D53">
      <w:pPr>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 xml:space="preserve">Şekil 2: Yıllara göre Kasım ayları itibariyle sanayi üretim endeksi </w:t>
      </w:r>
    </w:p>
    <w:p w:rsidR="00553D53" w:rsidRPr="00553D53" w:rsidRDefault="00553D53" w:rsidP="00553D53">
      <w:pPr>
        <w:ind w:firstLine="720"/>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(takvim etkisinden arındırılmış, 2015=100)</w:t>
      </w:r>
    </w:p>
    <w:p w:rsidR="00553D53" w:rsidRPr="00553D53" w:rsidRDefault="00553D53" w:rsidP="00553D53">
      <w:pPr>
        <w:jc w:val="both"/>
        <w:outlineLvl w:val="1"/>
        <w:rPr>
          <w:rFonts w:eastAsia="Times New Roman" w:cs="Times New Roman"/>
          <w:b/>
          <w:bCs/>
          <w:kern w:val="36"/>
          <w:sz w:val="24"/>
          <w:szCs w:val="24"/>
          <w:lang w:eastAsia="tr-TR"/>
        </w:rPr>
      </w:pPr>
      <w:r w:rsidRPr="00553D53">
        <w:rPr>
          <w:rFonts w:eastAsiaTheme="minorEastAsia"/>
          <w:noProof/>
          <w:lang w:eastAsia="tr-TR"/>
        </w:rPr>
        <w:lastRenderedPageBreak/>
        <w:drawing>
          <wp:inline distT="0" distB="0" distL="0" distR="0" wp14:anchorId="55F21A21" wp14:editId="43E14F36">
            <wp:extent cx="5972810" cy="2683510"/>
            <wp:effectExtent l="0" t="0" r="27940" b="21590"/>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53D53" w:rsidRPr="00553D53" w:rsidRDefault="00553D53" w:rsidP="00553D53">
      <w:pPr>
        <w:jc w:val="both"/>
        <w:rPr>
          <w:rFonts w:eastAsiaTheme="minorEastAsia"/>
          <w:lang w:eastAsia="tr-TR"/>
        </w:rPr>
      </w:pPr>
      <w:r w:rsidRPr="00553D53">
        <w:rPr>
          <w:rFonts w:eastAsiaTheme="minorEastAsia"/>
          <w:lang w:eastAsia="tr-TR"/>
        </w:rPr>
        <w:t xml:space="preserve">Endeks </w:t>
      </w:r>
      <w:r w:rsidRPr="00553D53">
        <w:rPr>
          <w:rFonts w:eastAsiaTheme="minorEastAsia"/>
          <w:b/>
          <w:u w:val="single"/>
          <w:lang w:eastAsia="tr-TR"/>
        </w:rPr>
        <w:t>bir önceki yılın aynı ayına göre</w:t>
      </w:r>
      <w:r w:rsidRPr="00553D53">
        <w:rPr>
          <w:rFonts w:eastAsiaTheme="minorEastAsia"/>
          <w:lang w:eastAsia="tr-TR"/>
        </w:rPr>
        <w:t xml:space="preserve"> yüzde 6,5 oranında azalış göstermiştir. Kasım (2018) ayında önceki yıla göre ana sanayi sektörleri itibariyle en yüksek azalış yüzde 7,1 ile imalat sanayi sektöründe gerçekleşmiştir. Bu sektörü, yüzde 1,8 azalışla elektrik, gaz, buhar ve iklimlendirme üretimi ve dağıtımı ve yüzde 1,1 azalışla madencilik ve </w:t>
      </w:r>
      <w:proofErr w:type="spellStart"/>
      <w:r w:rsidRPr="00553D53">
        <w:rPr>
          <w:rFonts w:eastAsiaTheme="minorEastAsia"/>
          <w:lang w:eastAsia="tr-TR"/>
        </w:rPr>
        <w:t>taşocakçılığı</w:t>
      </w:r>
      <w:proofErr w:type="spellEnd"/>
      <w:r w:rsidRPr="00553D53">
        <w:rPr>
          <w:rFonts w:eastAsiaTheme="minorEastAsia"/>
          <w:lang w:eastAsia="tr-TR"/>
        </w:rPr>
        <w:t xml:space="preserve"> sektörleri takip etmiştir.  </w:t>
      </w:r>
    </w:p>
    <w:p w:rsidR="00553D53" w:rsidRPr="00553D53" w:rsidRDefault="00553D53" w:rsidP="00553D53">
      <w:pPr>
        <w:jc w:val="both"/>
        <w:rPr>
          <w:rFonts w:eastAsiaTheme="minorEastAsia"/>
          <w:lang w:eastAsia="tr-TR"/>
        </w:rPr>
      </w:pPr>
      <w:r w:rsidRPr="00553D53">
        <w:rPr>
          <w:rFonts w:eastAsiaTheme="minorEastAsia"/>
          <w:lang w:eastAsia="tr-TR"/>
        </w:rPr>
        <w:t xml:space="preserve">Ana sanayi gruplarına bakıldığında, ara malı imalatında yüzde 11,9’luk, sermaye malı imalatında yüzde 8,3’lük ve dayanıksız tüketim malı imalatında yüzde 2,8’lik azalış yaşanmıştır. </w:t>
      </w:r>
    </w:p>
    <w:p w:rsidR="00553D53" w:rsidRPr="00553D53" w:rsidRDefault="00553D53" w:rsidP="00553D53">
      <w:pPr>
        <w:jc w:val="both"/>
        <w:rPr>
          <w:rFonts w:eastAsiaTheme="minorEastAsia"/>
          <w:lang w:eastAsia="tr-TR"/>
        </w:rPr>
      </w:pPr>
      <w:r w:rsidRPr="00553D53">
        <w:rPr>
          <w:rFonts w:eastAsiaTheme="minorEastAsia"/>
          <w:lang w:eastAsia="tr-TR"/>
        </w:rPr>
        <w:t>Bir önceki yılın aynı ayına göre değişime teknoloji sınıflarına göre bakıldığında en yüksek azalışın yüzde 14,2’lik azalışla orta düşük teknolojili üretimde olduğu görülmektedir. Orta düşük teknolojili üretimi yüzde 7,6’lık azalış ile orta yüksek teknolojili üretim ve yüzde 3,5’lik azalış ile düşük teknolojili üretim takip etmiştir. Yüksek teknolojili üretim yüzde 5,9’luk artış göstermiştir.</w:t>
      </w:r>
    </w:p>
    <w:p w:rsidR="00553D53" w:rsidRPr="00553D53" w:rsidRDefault="00553D53" w:rsidP="00553D53">
      <w:pPr>
        <w:jc w:val="both"/>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tbl>
      <w:tblPr>
        <w:tblStyle w:val="TabloKlavuzu"/>
        <w:tblW w:w="0" w:type="auto"/>
        <w:tblLook w:val="04A0" w:firstRow="1" w:lastRow="0" w:firstColumn="1" w:lastColumn="0" w:noHBand="0" w:noVBand="1"/>
      </w:tblPr>
      <w:tblGrid>
        <w:gridCol w:w="4110"/>
        <w:gridCol w:w="2153"/>
        <w:gridCol w:w="2067"/>
      </w:tblGrid>
      <w:tr w:rsidR="00553D53" w:rsidRPr="00553D53" w:rsidTr="00744398">
        <w:trPr>
          <w:trHeight w:val="264"/>
        </w:trPr>
        <w:tc>
          <w:tcPr>
            <w:tcW w:w="4110" w:type="dxa"/>
            <w:noWrap/>
            <w:hideMark/>
          </w:tcPr>
          <w:p w:rsidR="00553D53" w:rsidRPr="00553D53" w:rsidRDefault="00553D53" w:rsidP="00553D53">
            <w:pPr>
              <w:jc w:val="both"/>
            </w:pPr>
            <w:r w:rsidRPr="00553D53">
              <w:rPr>
                <w:b/>
              </w:rPr>
              <w:t>Tablo 1: Sanayi Üretim Endeksi Büyüme Oranları,  Kasım 2018</w:t>
            </w:r>
          </w:p>
        </w:tc>
        <w:tc>
          <w:tcPr>
            <w:tcW w:w="2153" w:type="dxa"/>
            <w:noWrap/>
            <w:hideMark/>
          </w:tcPr>
          <w:p w:rsidR="00553D53" w:rsidRPr="00553D53" w:rsidRDefault="00553D53" w:rsidP="00553D53">
            <w:pPr>
              <w:jc w:val="both"/>
            </w:pPr>
            <w:r w:rsidRPr="00553D53">
              <w:t>Önceki Aya Göre (%)</w:t>
            </w:r>
          </w:p>
        </w:tc>
        <w:tc>
          <w:tcPr>
            <w:tcW w:w="2067" w:type="dxa"/>
            <w:noWrap/>
            <w:hideMark/>
          </w:tcPr>
          <w:p w:rsidR="00553D53" w:rsidRPr="00553D53" w:rsidRDefault="00553D53" w:rsidP="00553D53">
            <w:pPr>
              <w:jc w:val="both"/>
            </w:pPr>
            <w:r w:rsidRPr="00553D53">
              <w:t>Önceki Yıla Göre (%)</w:t>
            </w:r>
          </w:p>
        </w:tc>
      </w:tr>
      <w:tr w:rsidR="00553D53" w:rsidRPr="00553D53" w:rsidTr="00744398">
        <w:trPr>
          <w:trHeight w:val="264"/>
        </w:trPr>
        <w:tc>
          <w:tcPr>
            <w:tcW w:w="4110" w:type="dxa"/>
            <w:noWrap/>
            <w:hideMark/>
          </w:tcPr>
          <w:p w:rsidR="00553D53" w:rsidRPr="00553D53" w:rsidRDefault="00553D53" w:rsidP="00553D53">
            <w:pPr>
              <w:jc w:val="both"/>
            </w:pPr>
            <w:r w:rsidRPr="00553D53">
              <w:t>Ara Malı</w:t>
            </w:r>
          </w:p>
        </w:tc>
        <w:tc>
          <w:tcPr>
            <w:tcW w:w="2153" w:type="dxa"/>
            <w:noWrap/>
            <w:vAlign w:val="center"/>
            <w:hideMark/>
          </w:tcPr>
          <w:p w:rsidR="00553D53" w:rsidRPr="00553D53" w:rsidRDefault="00553D53" w:rsidP="00553D53">
            <w:pPr>
              <w:jc w:val="center"/>
            </w:pPr>
            <w:r w:rsidRPr="00553D53">
              <w:t>-1,6</w:t>
            </w:r>
          </w:p>
        </w:tc>
        <w:tc>
          <w:tcPr>
            <w:tcW w:w="2067" w:type="dxa"/>
            <w:noWrap/>
            <w:vAlign w:val="center"/>
            <w:hideMark/>
          </w:tcPr>
          <w:p w:rsidR="00553D53" w:rsidRPr="00553D53" w:rsidRDefault="00553D53" w:rsidP="00553D53">
            <w:pPr>
              <w:jc w:val="center"/>
            </w:pPr>
            <w:r w:rsidRPr="00553D53">
              <w:t>-11,9</w:t>
            </w:r>
          </w:p>
        </w:tc>
      </w:tr>
      <w:tr w:rsidR="00553D53" w:rsidRPr="00553D53" w:rsidTr="00744398">
        <w:trPr>
          <w:trHeight w:val="264"/>
        </w:trPr>
        <w:tc>
          <w:tcPr>
            <w:tcW w:w="4110" w:type="dxa"/>
            <w:noWrap/>
            <w:hideMark/>
          </w:tcPr>
          <w:p w:rsidR="00553D53" w:rsidRPr="00553D53" w:rsidRDefault="00553D53" w:rsidP="00553D53">
            <w:pPr>
              <w:jc w:val="both"/>
            </w:pPr>
            <w:r w:rsidRPr="00553D53">
              <w:t>Dayanıklı Tüketim Malı</w:t>
            </w:r>
          </w:p>
        </w:tc>
        <w:tc>
          <w:tcPr>
            <w:tcW w:w="2153" w:type="dxa"/>
            <w:noWrap/>
            <w:vAlign w:val="center"/>
            <w:hideMark/>
          </w:tcPr>
          <w:p w:rsidR="00553D53" w:rsidRPr="00553D53" w:rsidRDefault="00553D53" w:rsidP="00553D53">
            <w:pPr>
              <w:jc w:val="center"/>
            </w:pPr>
            <w:r w:rsidRPr="00553D53">
              <w:t>7,6</w:t>
            </w:r>
          </w:p>
        </w:tc>
        <w:tc>
          <w:tcPr>
            <w:tcW w:w="2067" w:type="dxa"/>
            <w:noWrap/>
            <w:vAlign w:val="center"/>
            <w:hideMark/>
          </w:tcPr>
          <w:p w:rsidR="00553D53" w:rsidRPr="00553D53" w:rsidRDefault="00553D53" w:rsidP="00553D53">
            <w:pPr>
              <w:jc w:val="center"/>
            </w:pPr>
            <w:r w:rsidRPr="00553D53">
              <w:t>10,0</w:t>
            </w:r>
          </w:p>
        </w:tc>
      </w:tr>
      <w:tr w:rsidR="00553D53" w:rsidRPr="00553D53" w:rsidTr="00744398">
        <w:trPr>
          <w:trHeight w:val="264"/>
        </w:trPr>
        <w:tc>
          <w:tcPr>
            <w:tcW w:w="4110" w:type="dxa"/>
            <w:noWrap/>
            <w:hideMark/>
          </w:tcPr>
          <w:p w:rsidR="00553D53" w:rsidRPr="00553D53" w:rsidRDefault="00553D53" w:rsidP="00553D53">
            <w:pPr>
              <w:jc w:val="both"/>
            </w:pPr>
            <w:r w:rsidRPr="00553D53">
              <w:lastRenderedPageBreak/>
              <w:t>Dayanıksız Tüketim Malı</w:t>
            </w:r>
          </w:p>
        </w:tc>
        <w:tc>
          <w:tcPr>
            <w:tcW w:w="2153" w:type="dxa"/>
            <w:noWrap/>
            <w:vAlign w:val="center"/>
            <w:hideMark/>
          </w:tcPr>
          <w:p w:rsidR="00553D53" w:rsidRPr="00553D53" w:rsidRDefault="00553D53" w:rsidP="00553D53">
            <w:pPr>
              <w:jc w:val="center"/>
            </w:pPr>
            <w:r w:rsidRPr="00553D53">
              <w:t>0,4</w:t>
            </w:r>
          </w:p>
        </w:tc>
        <w:tc>
          <w:tcPr>
            <w:tcW w:w="2067" w:type="dxa"/>
            <w:noWrap/>
            <w:vAlign w:val="center"/>
            <w:hideMark/>
          </w:tcPr>
          <w:p w:rsidR="00553D53" w:rsidRPr="00553D53" w:rsidRDefault="00553D53" w:rsidP="00553D53">
            <w:r w:rsidRPr="00553D53">
              <w:t xml:space="preserve">               -2,8</w:t>
            </w:r>
          </w:p>
        </w:tc>
      </w:tr>
      <w:tr w:rsidR="00553D53" w:rsidRPr="00553D53" w:rsidTr="00744398">
        <w:trPr>
          <w:trHeight w:val="264"/>
        </w:trPr>
        <w:tc>
          <w:tcPr>
            <w:tcW w:w="4110" w:type="dxa"/>
            <w:noWrap/>
            <w:hideMark/>
          </w:tcPr>
          <w:p w:rsidR="00553D53" w:rsidRPr="00553D53" w:rsidRDefault="00553D53" w:rsidP="00553D53">
            <w:pPr>
              <w:jc w:val="both"/>
            </w:pPr>
            <w:r w:rsidRPr="00553D53">
              <w:t>Enerji</w:t>
            </w:r>
          </w:p>
        </w:tc>
        <w:tc>
          <w:tcPr>
            <w:tcW w:w="2153" w:type="dxa"/>
            <w:noWrap/>
            <w:vAlign w:val="center"/>
            <w:hideMark/>
          </w:tcPr>
          <w:p w:rsidR="00553D53" w:rsidRPr="00553D53" w:rsidRDefault="00553D53" w:rsidP="00553D53">
            <w:pPr>
              <w:jc w:val="center"/>
            </w:pPr>
            <w:r w:rsidRPr="00553D53">
              <w:t>-0,3</w:t>
            </w:r>
          </w:p>
        </w:tc>
        <w:tc>
          <w:tcPr>
            <w:tcW w:w="2067" w:type="dxa"/>
            <w:noWrap/>
            <w:vAlign w:val="center"/>
            <w:hideMark/>
          </w:tcPr>
          <w:p w:rsidR="00553D53" w:rsidRPr="00553D53" w:rsidRDefault="00553D53" w:rsidP="00553D53">
            <w:pPr>
              <w:jc w:val="center"/>
            </w:pPr>
            <w:r w:rsidRPr="00553D53">
              <w:t>0,7</w:t>
            </w:r>
          </w:p>
        </w:tc>
      </w:tr>
      <w:tr w:rsidR="00553D53" w:rsidRPr="00553D53" w:rsidTr="00744398">
        <w:trPr>
          <w:trHeight w:val="264"/>
        </w:trPr>
        <w:tc>
          <w:tcPr>
            <w:tcW w:w="4110" w:type="dxa"/>
            <w:noWrap/>
            <w:hideMark/>
          </w:tcPr>
          <w:p w:rsidR="00553D53" w:rsidRPr="00553D53" w:rsidRDefault="00553D53" w:rsidP="00553D53">
            <w:pPr>
              <w:jc w:val="both"/>
            </w:pPr>
            <w:r w:rsidRPr="00553D53">
              <w:t>Sermaye Malı</w:t>
            </w:r>
          </w:p>
        </w:tc>
        <w:tc>
          <w:tcPr>
            <w:tcW w:w="2153" w:type="dxa"/>
            <w:noWrap/>
            <w:vAlign w:val="center"/>
            <w:hideMark/>
          </w:tcPr>
          <w:p w:rsidR="00553D53" w:rsidRPr="00553D53" w:rsidRDefault="00553D53" w:rsidP="00553D53">
            <w:pPr>
              <w:jc w:val="center"/>
            </w:pPr>
            <w:r w:rsidRPr="00553D53">
              <w:t>-0,5</w:t>
            </w:r>
          </w:p>
        </w:tc>
        <w:tc>
          <w:tcPr>
            <w:tcW w:w="2067" w:type="dxa"/>
            <w:noWrap/>
            <w:vAlign w:val="center"/>
            <w:hideMark/>
          </w:tcPr>
          <w:p w:rsidR="00553D53" w:rsidRPr="00553D53" w:rsidRDefault="00553D53" w:rsidP="00553D53">
            <w:pPr>
              <w:jc w:val="center"/>
            </w:pPr>
            <w:r w:rsidRPr="00553D53">
              <w:t>-8,3</w:t>
            </w:r>
          </w:p>
        </w:tc>
      </w:tr>
      <w:tr w:rsidR="00553D53" w:rsidRPr="00553D53" w:rsidTr="00744398">
        <w:trPr>
          <w:trHeight w:val="264"/>
        </w:trPr>
        <w:tc>
          <w:tcPr>
            <w:tcW w:w="4110" w:type="dxa"/>
            <w:noWrap/>
            <w:hideMark/>
          </w:tcPr>
          <w:p w:rsidR="00553D53" w:rsidRPr="00553D53" w:rsidRDefault="00553D53" w:rsidP="00553D53">
            <w:pPr>
              <w:jc w:val="both"/>
              <w:rPr>
                <w:b/>
              </w:rPr>
            </w:pPr>
            <w:r w:rsidRPr="00553D53">
              <w:rPr>
                <w:b/>
              </w:rPr>
              <w:t>TOPLAM</w:t>
            </w:r>
          </w:p>
        </w:tc>
        <w:tc>
          <w:tcPr>
            <w:tcW w:w="2153" w:type="dxa"/>
            <w:noWrap/>
            <w:vAlign w:val="center"/>
            <w:hideMark/>
          </w:tcPr>
          <w:p w:rsidR="00553D53" w:rsidRPr="00553D53" w:rsidRDefault="00553D53" w:rsidP="00553D53">
            <w:pPr>
              <w:jc w:val="center"/>
              <w:rPr>
                <w:b/>
              </w:rPr>
            </w:pPr>
            <w:r w:rsidRPr="00553D53">
              <w:rPr>
                <w:b/>
              </w:rPr>
              <w:t>-0,3</w:t>
            </w:r>
          </w:p>
        </w:tc>
        <w:tc>
          <w:tcPr>
            <w:tcW w:w="2067" w:type="dxa"/>
            <w:noWrap/>
            <w:vAlign w:val="center"/>
            <w:hideMark/>
          </w:tcPr>
          <w:p w:rsidR="00553D53" w:rsidRPr="00553D53" w:rsidRDefault="00553D53" w:rsidP="00553D53">
            <w:pPr>
              <w:jc w:val="center"/>
              <w:rPr>
                <w:b/>
              </w:rPr>
            </w:pPr>
            <w:r w:rsidRPr="00553D53">
              <w:rPr>
                <w:b/>
              </w:rPr>
              <w:t>-6,5</w:t>
            </w:r>
          </w:p>
        </w:tc>
      </w:tr>
      <w:tr w:rsidR="00553D53" w:rsidRPr="00553D53" w:rsidTr="00744398">
        <w:trPr>
          <w:trHeight w:val="264"/>
        </w:trPr>
        <w:tc>
          <w:tcPr>
            <w:tcW w:w="4110" w:type="dxa"/>
            <w:shd w:val="clear" w:color="auto" w:fill="808080" w:themeFill="background1" w:themeFillShade="80"/>
            <w:noWrap/>
            <w:hideMark/>
          </w:tcPr>
          <w:p w:rsidR="00553D53" w:rsidRPr="00553D53" w:rsidRDefault="00553D53" w:rsidP="00553D53">
            <w:pPr>
              <w:jc w:val="both"/>
              <w:rPr>
                <w:b/>
              </w:rPr>
            </w:pPr>
          </w:p>
        </w:tc>
        <w:tc>
          <w:tcPr>
            <w:tcW w:w="2153" w:type="dxa"/>
            <w:shd w:val="clear" w:color="auto" w:fill="808080" w:themeFill="background1" w:themeFillShade="80"/>
            <w:noWrap/>
            <w:hideMark/>
          </w:tcPr>
          <w:p w:rsidR="00553D53" w:rsidRPr="00553D53" w:rsidRDefault="00553D53" w:rsidP="00553D53">
            <w:pPr>
              <w:jc w:val="both"/>
            </w:pPr>
          </w:p>
        </w:tc>
        <w:tc>
          <w:tcPr>
            <w:tcW w:w="2067" w:type="dxa"/>
            <w:shd w:val="clear" w:color="auto" w:fill="808080" w:themeFill="background1" w:themeFillShade="80"/>
            <w:noWrap/>
            <w:hideMark/>
          </w:tcPr>
          <w:p w:rsidR="00553D53" w:rsidRPr="00553D53" w:rsidRDefault="00553D53" w:rsidP="00553D53">
            <w:pPr>
              <w:jc w:val="both"/>
            </w:pPr>
          </w:p>
        </w:tc>
      </w:tr>
      <w:tr w:rsidR="00553D53" w:rsidRPr="00553D53" w:rsidTr="00744398">
        <w:trPr>
          <w:trHeight w:val="264"/>
        </w:trPr>
        <w:tc>
          <w:tcPr>
            <w:tcW w:w="4110" w:type="dxa"/>
            <w:noWrap/>
            <w:hideMark/>
          </w:tcPr>
          <w:p w:rsidR="00553D53" w:rsidRPr="00553D53" w:rsidRDefault="00553D53" w:rsidP="00553D53">
            <w:pPr>
              <w:jc w:val="both"/>
            </w:pPr>
            <w:r w:rsidRPr="00553D53">
              <w:rPr>
                <w:b/>
              </w:rPr>
              <w:t xml:space="preserve">Tablo 2: Sanayi Üretim Endeksi </w:t>
            </w:r>
            <w:proofErr w:type="spellStart"/>
            <w:r w:rsidRPr="00553D53">
              <w:rPr>
                <w:b/>
              </w:rPr>
              <w:t>Sektörel</w:t>
            </w:r>
            <w:proofErr w:type="spellEnd"/>
            <w:r w:rsidRPr="00553D53">
              <w:rPr>
                <w:b/>
              </w:rPr>
              <w:t xml:space="preserve"> Büyüme Oranları, Kasım 2018</w:t>
            </w:r>
          </w:p>
        </w:tc>
        <w:tc>
          <w:tcPr>
            <w:tcW w:w="2153" w:type="dxa"/>
            <w:noWrap/>
            <w:hideMark/>
          </w:tcPr>
          <w:p w:rsidR="00553D53" w:rsidRPr="00553D53" w:rsidRDefault="00553D53" w:rsidP="00553D53">
            <w:pPr>
              <w:jc w:val="both"/>
            </w:pPr>
            <w:r w:rsidRPr="00553D53">
              <w:t>Önceki Aya Göre (%)</w:t>
            </w:r>
          </w:p>
        </w:tc>
        <w:tc>
          <w:tcPr>
            <w:tcW w:w="2067" w:type="dxa"/>
            <w:noWrap/>
            <w:hideMark/>
          </w:tcPr>
          <w:p w:rsidR="00553D53" w:rsidRPr="00553D53" w:rsidRDefault="00553D53" w:rsidP="00553D53">
            <w:pPr>
              <w:jc w:val="both"/>
            </w:pPr>
            <w:r w:rsidRPr="00553D53">
              <w:t>Önceki Yıla Göre (%)</w:t>
            </w:r>
          </w:p>
        </w:tc>
      </w:tr>
      <w:tr w:rsidR="00553D53" w:rsidRPr="00553D53" w:rsidTr="00744398">
        <w:trPr>
          <w:trHeight w:val="264"/>
        </w:trPr>
        <w:tc>
          <w:tcPr>
            <w:tcW w:w="4110" w:type="dxa"/>
            <w:noWrap/>
            <w:hideMark/>
          </w:tcPr>
          <w:p w:rsidR="00553D53" w:rsidRPr="00553D53" w:rsidRDefault="00553D53" w:rsidP="00553D53">
            <w:r w:rsidRPr="00553D53">
              <w:t xml:space="preserve">Madencilik ve </w:t>
            </w:r>
            <w:proofErr w:type="spellStart"/>
            <w:r w:rsidRPr="00553D53">
              <w:t>Taşocakçılığı</w:t>
            </w:r>
            <w:proofErr w:type="spellEnd"/>
          </w:p>
        </w:tc>
        <w:tc>
          <w:tcPr>
            <w:tcW w:w="2153" w:type="dxa"/>
            <w:noWrap/>
            <w:vAlign w:val="center"/>
            <w:hideMark/>
          </w:tcPr>
          <w:p w:rsidR="00553D53" w:rsidRPr="00553D53" w:rsidRDefault="00553D53" w:rsidP="00553D53">
            <w:pPr>
              <w:jc w:val="center"/>
            </w:pPr>
            <w:r w:rsidRPr="00553D53">
              <w:t>-3,7</w:t>
            </w:r>
          </w:p>
        </w:tc>
        <w:tc>
          <w:tcPr>
            <w:tcW w:w="2067" w:type="dxa"/>
            <w:noWrap/>
            <w:vAlign w:val="center"/>
            <w:hideMark/>
          </w:tcPr>
          <w:p w:rsidR="00553D53" w:rsidRPr="00553D53" w:rsidRDefault="00553D53" w:rsidP="00553D53">
            <w:pPr>
              <w:jc w:val="center"/>
            </w:pPr>
            <w:r w:rsidRPr="00553D53">
              <w:t>-1,1</w:t>
            </w:r>
          </w:p>
        </w:tc>
      </w:tr>
      <w:tr w:rsidR="00553D53" w:rsidRPr="00553D53" w:rsidTr="00744398">
        <w:trPr>
          <w:trHeight w:val="264"/>
        </w:trPr>
        <w:tc>
          <w:tcPr>
            <w:tcW w:w="4110" w:type="dxa"/>
            <w:noWrap/>
            <w:hideMark/>
          </w:tcPr>
          <w:p w:rsidR="00553D53" w:rsidRPr="00553D53" w:rsidRDefault="00553D53" w:rsidP="00553D53">
            <w:pPr>
              <w:jc w:val="both"/>
            </w:pPr>
            <w:r w:rsidRPr="00553D53">
              <w:t>İmalat Sanayi</w:t>
            </w:r>
          </w:p>
        </w:tc>
        <w:tc>
          <w:tcPr>
            <w:tcW w:w="2153" w:type="dxa"/>
            <w:noWrap/>
            <w:vAlign w:val="center"/>
            <w:hideMark/>
          </w:tcPr>
          <w:p w:rsidR="00553D53" w:rsidRPr="00553D53" w:rsidRDefault="00553D53" w:rsidP="00553D53">
            <w:pPr>
              <w:jc w:val="center"/>
            </w:pPr>
            <w:r w:rsidRPr="00553D53">
              <w:t>-0,1</w:t>
            </w:r>
          </w:p>
        </w:tc>
        <w:tc>
          <w:tcPr>
            <w:tcW w:w="2067" w:type="dxa"/>
            <w:noWrap/>
            <w:vAlign w:val="center"/>
            <w:hideMark/>
          </w:tcPr>
          <w:p w:rsidR="00553D53" w:rsidRPr="00553D53" w:rsidRDefault="00553D53" w:rsidP="00553D53">
            <w:pPr>
              <w:jc w:val="center"/>
            </w:pPr>
            <w:r w:rsidRPr="00553D53">
              <w:t>-7,1</w:t>
            </w:r>
          </w:p>
        </w:tc>
      </w:tr>
      <w:tr w:rsidR="00553D53" w:rsidRPr="00553D53" w:rsidTr="00744398">
        <w:trPr>
          <w:trHeight w:val="264"/>
        </w:trPr>
        <w:tc>
          <w:tcPr>
            <w:tcW w:w="4110" w:type="dxa"/>
            <w:noWrap/>
            <w:hideMark/>
          </w:tcPr>
          <w:p w:rsidR="00553D53" w:rsidRPr="00553D53" w:rsidRDefault="00553D53" w:rsidP="00553D53">
            <w:pPr>
              <w:jc w:val="both"/>
            </w:pPr>
            <w:r w:rsidRPr="00553D53">
              <w:t>Elektrik, Gaz, Buhar ve İklimlendirme Üretimi ve Dağıtımı</w:t>
            </w:r>
          </w:p>
        </w:tc>
        <w:tc>
          <w:tcPr>
            <w:tcW w:w="2153" w:type="dxa"/>
            <w:noWrap/>
            <w:vAlign w:val="center"/>
            <w:hideMark/>
          </w:tcPr>
          <w:p w:rsidR="00553D53" w:rsidRPr="00553D53" w:rsidRDefault="00553D53" w:rsidP="00553D53">
            <w:pPr>
              <w:jc w:val="center"/>
            </w:pPr>
            <w:r w:rsidRPr="00553D53">
              <w:t>0,0</w:t>
            </w:r>
          </w:p>
        </w:tc>
        <w:tc>
          <w:tcPr>
            <w:tcW w:w="2067" w:type="dxa"/>
            <w:noWrap/>
            <w:vAlign w:val="center"/>
            <w:hideMark/>
          </w:tcPr>
          <w:p w:rsidR="00553D53" w:rsidRPr="00553D53" w:rsidRDefault="00553D53" w:rsidP="00553D53">
            <w:pPr>
              <w:jc w:val="center"/>
            </w:pPr>
            <w:r w:rsidRPr="00553D53">
              <w:t>-1,8</w:t>
            </w:r>
          </w:p>
        </w:tc>
      </w:tr>
      <w:tr w:rsidR="00553D53" w:rsidRPr="00553D53" w:rsidTr="00744398">
        <w:trPr>
          <w:trHeight w:val="264"/>
        </w:trPr>
        <w:tc>
          <w:tcPr>
            <w:tcW w:w="4110" w:type="dxa"/>
            <w:noWrap/>
            <w:hideMark/>
          </w:tcPr>
          <w:p w:rsidR="00553D53" w:rsidRPr="00553D53" w:rsidRDefault="00553D53" w:rsidP="00553D53">
            <w:pPr>
              <w:jc w:val="both"/>
              <w:rPr>
                <w:b/>
              </w:rPr>
            </w:pPr>
            <w:r w:rsidRPr="00553D53">
              <w:rPr>
                <w:b/>
              </w:rPr>
              <w:t>TOPLAM</w:t>
            </w:r>
          </w:p>
        </w:tc>
        <w:tc>
          <w:tcPr>
            <w:tcW w:w="2153" w:type="dxa"/>
            <w:noWrap/>
            <w:vAlign w:val="center"/>
            <w:hideMark/>
          </w:tcPr>
          <w:p w:rsidR="00553D53" w:rsidRPr="00553D53" w:rsidRDefault="00553D53" w:rsidP="00553D53">
            <w:pPr>
              <w:jc w:val="center"/>
              <w:rPr>
                <w:b/>
              </w:rPr>
            </w:pPr>
            <w:r w:rsidRPr="00553D53">
              <w:rPr>
                <w:b/>
              </w:rPr>
              <w:t>-0,3</w:t>
            </w:r>
          </w:p>
        </w:tc>
        <w:tc>
          <w:tcPr>
            <w:tcW w:w="2067" w:type="dxa"/>
            <w:noWrap/>
            <w:vAlign w:val="center"/>
            <w:hideMark/>
          </w:tcPr>
          <w:p w:rsidR="00553D53" w:rsidRPr="00553D53" w:rsidRDefault="00553D53" w:rsidP="00553D53">
            <w:pPr>
              <w:jc w:val="center"/>
              <w:rPr>
                <w:b/>
              </w:rPr>
            </w:pPr>
            <w:r w:rsidRPr="00553D53">
              <w:rPr>
                <w:b/>
              </w:rPr>
              <w:t>-6,5</w:t>
            </w:r>
          </w:p>
        </w:tc>
      </w:tr>
      <w:tr w:rsidR="00553D53" w:rsidRPr="00553D53" w:rsidTr="00744398">
        <w:trPr>
          <w:trHeight w:val="264"/>
        </w:trPr>
        <w:tc>
          <w:tcPr>
            <w:tcW w:w="4110" w:type="dxa"/>
            <w:shd w:val="clear" w:color="auto" w:fill="808080" w:themeFill="background1" w:themeFillShade="80"/>
            <w:noWrap/>
          </w:tcPr>
          <w:p w:rsidR="00553D53" w:rsidRPr="00553D53" w:rsidRDefault="00553D53" w:rsidP="00553D53">
            <w:pPr>
              <w:jc w:val="both"/>
              <w:rPr>
                <w:b/>
              </w:rPr>
            </w:pPr>
          </w:p>
        </w:tc>
        <w:tc>
          <w:tcPr>
            <w:tcW w:w="2153" w:type="dxa"/>
            <w:shd w:val="clear" w:color="auto" w:fill="808080" w:themeFill="background1" w:themeFillShade="80"/>
            <w:noWrap/>
            <w:vAlign w:val="center"/>
          </w:tcPr>
          <w:p w:rsidR="00553D53" w:rsidRPr="00553D53" w:rsidRDefault="00553D53" w:rsidP="00553D53">
            <w:pPr>
              <w:jc w:val="center"/>
              <w:rPr>
                <w:b/>
              </w:rPr>
            </w:pPr>
          </w:p>
        </w:tc>
        <w:tc>
          <w:tcPr>
            <w:tcW w:w="2067" w:type="dxa"/>
            <w:shd w:val="clear" w:color="auto" w:fill="808080" w:themeFill="background1" w:themeFillShade="80"/>
            <w:noWrap/>
            <w:vAlign w:val="center"/>
          </w:tcPr>
          <w:p w:rsidR="00553D53" w:rsidRPr="00553D53" w:rsidRDefault="00553D53" w:rsidP="00553D53">
            <w:pPr>
              <w:jc w:val="center"/>
              <w:rPr>
                <w:b/>
              </w:rPr>
            </w:pPr>
          </w:p>
        </w:tc>
      </w:tr>
      <w:tr w:rsidR="00553D53" w:rsidRPr="00553D53" w:rsidTr="00744398">
        <w:trPr>
          <w:trHeight w:val="264"/>
        </w:trPr>
        <w:tc>
          <w:tcPr>
            <w:tcW w:w="4110" w:type="dxa"/>
            <w:noWrap/>
          </w:tcPr>
          <w:p w:rsidR="00553D53" w:rsidRPr="00553D53" w:rsidRDefault="00553D53" w:rsidP="00553D53">
            <w:pPr>
              <w:jc w:val="both"/>
              <w:rPr>
                <w:b/>
              </w:rPr>
            </w:pPr>
            <w:r w:rsidRPr="00553D53">
              <w:rPr>
                <w:b/>
              </w:rPr>
              <w:t>Tablo 3. Sanayi Üretim Endeksi Teknoloji Sınıflarına Göre Büyüme Oranları, Kasım 2018</w:t>
            </w:r>
          </w:p>
        </w:tc>
        <w:tc>
          <w:tcPr>
            <w:tcW w:w="2153" w:type="dxa"/>
            <w:noWrap/>
          </w:tcPr>
          <w:p w:rsidR="00553D53" w:rsidRPr="00553D53" w:rsidRDefault="00553D53" w:rsidP="00553D53">
            <w:pPr>
              <w:jc w:val="both"/>
            </w:pPr>
            <w:r w:rsidRPr="00553D53">
              <w:t>Önceki Aya Göre (%)</w:t>
            </w:r>
          </w:p>
        </w:tc>
        <w:tc>
          <w:tcPr>
            <w:tcW w:w="2067" w:type="dxa"/>
            <w:noWrap/>
          </w:tcPr>
          <w:p w:rsidR="00553D53" w:rsidRPr="00553D53" w:rsidRDefault="00553D53" w:rsidP="00553D53">
            <w:pPr>
              <w:jc w:val="both"/>
            </w:pPr>
            <w:r w:rsidRPr="00553D53">
              <w:t>Önceki Yıla Göre (%)</w:t>
            </w:r>
          </w:p>
        </w:tc>
      </w:tr>
      <w:tr w:rsidR="00553D53" w:rsidRPr="00553D53" w:rsidTr="00744398">
        <w:trPr>
          <w:trHeight w:val="264"/>
        </w:trPr>
        <w:tc>
          <w:tcPr>
            <w:tcW w:w="4110" w:type="dxa"/>
            <w:noWrap/>
          </w:tcPr>
          <w:p w:rsidR="00553D53" w:rsidRPr="00553D53" w:rsidRDefault="00553D53" w:rsidP="00553D53">
            <w:pPr>
              <w:jc w:val="both"/>
            </w:pPr>
            <w:r w:rsidRPr="00553D53">
              <w:t>Düşük Teknoloji</w:t>
            </w:r>
          </w:p>
        </w:tc>
        <w:tc>
          <w:tcPr>
            <w:tcW w:w="2153" w:type="dxa"/>
            <w:noWrap/>
            <w:vAlign w:val="center"/>
          </w:tcPr>
          <w:p w:rsidR="00553D53" w:rsidRPr="00553D53" w:rsidRDefault="00553D53" w:rsidP="00553D53">
            <w:pPr>
              <w:jc w:val="center"/>
            </w:pPr>
            <w:r w:rsidRPr="00553D53">
              <w:t>0,9</w:t>
            </w:r>
          </w:p>
        </w:tc>
        <w:tc>
          <w:tcPr>
            <w:tcW w:w="2067" w:type="dxa"/>
            <w:noWrap/>
            <w:vAlign w:val="center"/>
          </w:tcPr>
          <w:p w:rsidR="00553D53" w:rsidRPr="00553D53" w:rsidRDefault="00553D53" w:rsidP="00553D53">
            <w:pPr>
              <w:jc w:val="center"/>
            </w:pPr>
            <w:r w:rsidRPr="00553D53">
              <w:t>-3,5</w:t>
            </w:r>
          </w:p>
        </w:tc>
      </w:tr>
      <w:tr w:rsidR="00553D53" w:rsidRPr="00553D53" w:rsidTr="00744398">
        <w:trPr>
          <w:trHeight w:val="264"/>
        </w:trPr>
        <w:tc>
          <w:tcPr>
            <w:tcW w:w="4110" w:type="dxa"/>
            <w:noWrap/>
          </w:tcPr>
          <w:p w:rsidR="00553D53" w:rsidRPr="00553D53" w:rsidRDefault="00553D53" w:rsidP="00553D53">
            <w:pPr>
              <w:jc w:val="both"/>
            </w:pPr>
            <w:r w:rsidRPr="00553D53">
              <w:t>Orta Düşük Teknoloji</w:t>
            </w:r>
          </w:p>
        </w:tc>
        <w:tc>
          <w:tcPr>
            <w:tcW w:w="2153" w:type="dxa"/>
            <w:noWrap/>
            <w:vAlign w:val="center"/>
          </w:tcPr>
          <w:p w:rsidR="00553D53" w:rsidRPr="00553D53" w:rsidRDefault="00553D53" w:rsidP="00553D53">
            <w:pPr>
              <w:jc w:val="center"/>
            </w:pPr>
            <w:r w:rsidRPr="00553D53">
              <w:t>-2,4</w:t>
            </w:r>
          </w:p>
        </w:tc>
        <w:tc>
          <w:tcPr>
            <w:tcW w:w="2067" w:type="dxa"/>
            <w:noWrap/>
            <w:vAlign w:val="center"/>
          </w:tcPr>
          <w:p w:rsidR="00553D53" w:rsidRPr="00553D53" w:rsidRDefault="00553D53" w:rsidP="00553D53">
            <w:pPr>
              <w:jc w:val="center"/>
            </w:pPr>
            <w:r w:rsidRPr="00553D53">
              <w:t>-14,2</w:t>
            </w:r>
          </w:p>
        </w:tc>
      </w:tr>
      <w:tr w:rsidR="00553D53" w:rsidRPr="00553D53" w:rsidTr="00744398">
        <w:trPr>
          <w:trHeight w:val="264"/>
        </w:trPr>
        <w:tc>
          <w:tcPr>
            <w:tcW w:w="4110" w:type="dxa"/>
            <w:noWrap/>
          </w:tcPr>
          <w:p w:rsidR="00553D53" w:rsidRPr="00553D53" w:rsidRDefault="00553D53" w:rsidP="00553D53">
            <w:pPr>
              <w:jc w:val="both"/>
            </w:pPr>
            <w:r w:rsidRPr="00553D53">
              <w:t>Orta Yüksek Teknoloji</w:t>
            </w:r>
          </w:p>
        </w:tc>
        <w:tc>
          <w:tcPr>
            <w:tcW w:w="2153" w:type="dxa"/>
            <w:noWrap/>
            <w:vAlign w:val="center"/>
          </w:tcPr>
          <w:p w:rsidR="00553D53" w:rsidRPr="00553D53" w:rsidRDefault="00553D53" w:rsidP="00553D53">
            <w:pPr>
              <w:jc w:val="center"/>
            </w:pPr>
            <w:r w:rsidRPr="00553D53">
              <w:t>2,1</w:t>
            </w:r>
          </w:p>
        </w:tc>
        <w:tc>
          <w:tcPr>
            <w:tcW w:w="2067" w:type="dxa"/>
            <w:noWrap/>
            <w:vAlign w:val="center"/>
          </w:tcPr>
          <w:p w:rsidR="00553D53" w:rsidRPr="00553D53" w:rsidRDefault="00553D53" w:rsidP="00553D53">
            <w:r w:rsidRPr="00553D53">
              <w:t xml:space="preserve">                -7,6</w:t>
            </w:r>
          </w:p>
        </w:tc>
      </w:tr>
      <w:tr w:rsidR="00553D53" w:rsidRPr="00553D53" w:rsidTr="00744398">
        <w:trPr>
          <w:trHeight w:val="264"/>
        </w:trPr>
        <w:tc>
          <w:tcPr>
            <w:tcW w:w="4110" w:type="dxa"/>
            <w:noWrap/>
          </w:tcPr>
          <w:p w:rsidR="00553D53" w:rsidRPr="00553D53" w:rsidRDefault="00553D53" w:rsidP="00553D53">
            <w:pPr>
              <w:jc w:val="both"/>
            </w:pPr>
            <w:r w:rsidRPr="00553D53">
              <w:t>Yüksek Teknoloji</w:t>
            </w:r>
          </w:p>
        </w:tc>
        <w:tc>
          <w:tcPr>
            <w:tcW w:w="2153" w:type="dxa"/>
            <w:noWrap/>
            <w:vAlign w:val="center"/>
          </w:tcPr>
          <w:p w:rsidR="00553D53" w:rsidRPr="00553D53" w:rsidRDefault="00553D53" w:rsidP="00553D53">
            <w:pPr>
              <w:jc w:val="center"/>
            </w:pPr>
            <w:r w:rsidRPr="00553D53">
              <w:t>-3,5</w:t>
            </w:r>
          </w:p>
        </w:tc>
        <w:tc>
          <w:tcPr>
            <w:tcW w:w="2067" w:type="dxa"/>
            <w:noWrap/>
            <w:vAlign w:val="center"/>
          </w:tcPr>
          <w:p w:rsidR="00553D53" w:rsidRPr="00553D53" w:rsidRDefault="00553D53" w:rsidP="00553D53">
            <w:pPr>
              <w:jc w:val="center"/>
            </w:pPr>
            <w:r w:rsidRPr="00553D53">
              <w:t>5,9</w:t>
            </w:r>
          </w:p>
        </w:tc>
      </w:tr>
      <w:tr w:rsidR="00553D53" w:rsidRPr="00553D53" w:rsidTr="00744398">
        <w:trPr>
          <w:trHeight w:val="264"/>
        </w:trPr>
        <w:tc>
          <w:tcPr>
            <w:tcW w:w="4110" w:type="dxa"/>
            <w:noWrap/>
          </w:tcPr>
          <w:p w:rsidR="00553D53" w:rsidRPr="00553D53" w:rsidRDefault="00553D53" w:rsidP="00553D53">
            <w:pPr>
              <w:jc w:val="both"/>
              <w:rPr>
                <w:b/>
              </w:rPr>
            </w:pPr>
            <w:r w:rsidRPr="00553D53">
              <w:rPr>
                <w:b/>
              </w:rPr>
              <w:t>TOPLAM</w:t>
            </w:r>
          </w:p>
        </w:tc>
        <w:tc>
          <w:tcPr>
            <w:tcW w:w="2153" w:type="dxa"/>
            <w:noWrap/>
            <w:vAlign w:val="center"/>
          </w:tcPr>
          <w:p w:rsidR="00553D53" w:rsidRPr="00553D53" w:rsidRDefault="00553D53" w:rsidP="00553D53">
            <w:pPr>
              <w:jc w:val="center"/>
              <w:rPr>
                <w:b/>
              </w:rPr>
            </w:pPr>
            <w:r w:rsidRPr="00553D53">
              <w:rPr>
                <w:b/>
              </w:rPr>
              <w:t>-0,3</w:t>
            </w:r>
          </w:p>
        </w:tc>
        <w:tc>
          <w:tcPr>
            <w:tcW w:w="2067" w:type="dxa"/>
            <w:noWrap/>
            <w:vAlign w:val="center"/>
          </w:tcPr>
          <w:p w:rsidR="00553D53" w:rsidRPr="00553D53" w:rsidRDefault="00553D53" w:rsidP="00553D53">
            <w:pPr>
              <w:jc w:val="center"/>
              <w:rPr>
                <w:b/>
              </w:rPr>
            </w:pPr>
            <w:r w:rsidRPr="00553D53">
              <w:rPr>
                <w:b/>
              </w:rPr>
              <w:t>-6,5</w:t>
            </w:r>
          </w:p>
        </w:tc>
      </w:tr>
    </w:tbl>
    <w:p w:rsidR="00553D53" w:rsidRPr="00553D53" w:rsidRDefault="00553D53" w:rsidP="00553D53">
      <w:pPr>
        <w:jc w:val="both"/>
        <w:rPr>
          <w:rFonts w:eastAsiaTheme="minorEastAsia"/>
          <w:lang w:eastAsia="tr-TR"/>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63"/>
        <w:gridCol w:w="4236"/>
      </w:tblGrid>
      <w:tr w:rsidR="00553D53" w:rsidRPr="00553D53" w:rsidTr="00744398">
        <w:trPr>
          <w:trHeight w:val="915"/>
        </w:trPr>
        <w:tc>
          <w:tcPr>
            <w:tcW w:w="5644" w:type="dxa"/>
            <w:vAlign w:val="center"/>
          </w:tcPr>
          <w:p w:rsidR="00553D53" w:rsidRPr="00553D53" w:rsidRDefault="00553D53" w:rsidP="00553D53">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553D53">
              <w:rPr>
                <w:rFonts w:asciiTheme="majorHAnsi" w:eastAsiaTheme="majorEastAsia" w:hAnsiTheme="majorHAnsi" w:cstheme="majorBidi"/>
                <w:sz w:val="36"/>
                <w:szCs w:val="36"/>
                <w:lang w:eastAsia="tr-TR"/>
              </w:rPr>
              <w:t xml:space="preserve">2018 Kasım </w:t>
            </w:r>
          </w:p>
          <w:p w:rsidR="00553D53" w:rsidRPr="00553D53" w:rsidRDefault="00553D53" w:rsidP="00553D53">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553D53">
              <w:rPr>
                <w:rFonts w:asciiTheme="majorHAnsi" w:eastAsiaTheme="majorEastAsia" w:hAnsiTheme="majorHAnsi" w:cstheme="majorBidi"/>
                <w:sz w:val="36"/>
                <w:szCs w:val="36"/>
                <w:lang w:eastAsia="tr-TR"/>
              </w:rPr>
              <w:t>SANAYİ ÜRETİM ENDEKSİ</w:t>
            </w:r>
          </w:p>
        </w:tc>
        <w:tc>
          <w:tcPr>
            <w:tcW w:w="4678" w:type="dxa"/>
          </w:tcPr>
          <w:p w:rsidR="00553D53" w:rsidRPr="00553D53" w:rsidRDefault="00553D53" w:rsidP="00553D53">
            <w:pPr>
              <w:tabs>
                <w:tab w:val="center" w:pos="4536"/>
                <w:tab w:val="right" w:pos="9072"/>
              </w:tabs>
              <w:spacing w:after="0"/>
              <w:jc w:val="center"/>
              <w:rPr>
                <w:rFonts w:asciiTheme="majorHAnsi" w:eastAsiaTheme="majorEastAsia" w:hAnsiTheme="majorHAnsi" w:cstheme="majorBidi"/>
                <w:b/>
                <w:bCs/>
                <w:color w:val="4F81BD" w:themeColor="accent1"/>
                <w:sz w:val="36"/>
                <w:szCs w:val="36"/>
                <w:lang w:eastAsia="tr-TR"/>
              </w:rPr>
            </w:pPr>
            <w:r w:rsidRPr="00553D53">
              <w:rPr>
                <w:rFonts w:asciiTheme="majorHAnsi" w:eastAsiaTheme="majorEastAsia" w:hAnsiTheme="majorHAnsi" w:cstheme="majorBidi"/>
                <w:bCs/>
                <w:sz w:val="28"/>
                <w:szCs w:val="36"/>
                <w:lang w:eastAsia="tr-TR"/>
              </w:rPr>
              <w:t xml:space="preserve">14 Ocak 2019  </w:t>
            </w:r>
            <w:r w:rsidRPr="00553D53">
              <w:rPr>
                <w:rFonts w:asciiTheme="majorHAnsi" w:eastAsiaTheme="majorEastAsia" w:hAnsiTheme="majorHAnsi" w:cstheme="majorBidi"/>
                <w:b/>
                <w:bCs/>
                <w:noProof/>
                <w:color w:val="4F81BD" w:themeColor="accent1"/>
                <w:sz w:val="36"/>
                <w:szCs w:val="36"/>
                <w:lang w:eastAsia="tr-TR"/>
              </w:rPr>
              <w:drawing>
                <wp:inline distT="0" distB="0" distL="0" distR="0" wp14:anchorId="27CCDB2A" wp14:editId="790091C7">
                  <wp:extent cx="892754" cy="533400"/>
                  <wp:effectExtent l="0" t="0" r="0" b="0"/>
                  <wp:docPr id="24" name="Resim 24"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Pr="00553D53">
              <w:rPr>
                <w:rFonts w:asciiTheme="majorHAnsi" w:eastAsiaTheme="majorEastAsia" w:hAnsiTheme="majorHAnsi" w:cstheme="majorBidi"/>
                <w:bCs/>
                <w:sz w:val="28"/>
                <w:szCs w:val="36"/>
                <w:lang w:eastAsia="tr-TR"/>
              </w:rPr>
              <w:t xml:space="preserve">              </w:t>
            </w:r>
          </w:p>
        </w:tc>
      </w:tr>
    </w:tbl>
    <w:p w:rsidR="00553D53" w:rsidRPr="00553D53" w:rsidRDefault="00553D53" w:rsidP="00553D53">
      <w:pPr>
        <w:tabs>
          <w:tab w:val="center" w:pos="4536"/>
          <w:tab w:val="right" w:pos="9072"/>
        </w:tabs>
        <w:spacing w:after="0" w:line="240" w:lineRule="auto"/>
        <w:rPr>
          <w:rFonts w:eastAsiaTheme="minorEastAsia"/>
          <w:lang w:eastAsia="tr-TR"/>
        </w:rPr>
      </w:pPr>
    </w:p>
    <w:p w:rsidR="00553D53" w:rsidRPr="00553D53" w:rsidRDefault="00553D53" w:rsidP="00553D53">
      <w:pPr>
        <w:rPr>
          <w:rFonts w:eastAsiaTheme="minorEastAsia"/>
          <w:b/>
          <w:lang w:eastAsia="tr-TR"/>
        </w:rPr>
      </w:pPr>
      <w:r w:rsidRPr="00553D53">
        <w:rPr>
          <w:rFonts w:eastAsiaTheme="minorEastAsia"/>
          <w:b/>
          <w:lang w:eastAsia="tr-TR"/>
        </w:rPr>
        <w:t>Kasım 2018 Sanayi Üretim Endeksi’ne ilişkin veriler Türkiye İstatistik Kurumu (TÜİK) tarafından 14 Ocak 2019 tarihinde yayımlandı.</w:t>
      </w:r>
    </w:p>
    <w:p w:rsidR="00553D53" w:rsidRPr="00553D53" w:rsidRDefault="00553D53" w:rsidP="00553D53">
      <w:pPr>
        <w:rPr>
          <w:rFonts w:eastAsiaTheme="minorEastAsia"/>
          <w:lang w:eastAsia="tr-TR"/>
        </w:rPr>
      </w:pPr>
      <w:r w:rsidRPr="00553D53">
        <w:rPr>
          <w:rFonts w:eastAsiaTheme="minorEastAsia"/>
          <w:lang w:eastAsia="tr-TR"/>
        </w:rPr>
        <w:t>TÜİK tarafından aylık yayımlanan Sanayi Üretim Endeksi, Türkiye’deki sanayi kuruluşlarının toplam üretiminin zaman içindeki değişimi hakkında bilgi vermektedir.</w:t>
      </w:r>
      <w:r w:rsidRPr="00553D53">
        <w:rPr>
          <w:rFonts w:eastAsiaTheme="minorEastAsia"/>
          <w:vertAlign w:val="superscript"/>
          <w:lang w:eastAsia="tr-TR"/>
        </w:rPr>
        <w:footnoteReference w:id="4"/>
      </w:r>
    </w:p>
    <w:p w:rsidR="00553D53" w:rsidRPr="00553D53" w:rsidRDefault="00553D53" w:rsidP="00553D53">
      <w:pPr>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 xml:space="preserve">Şekil 1: Aylara göre sanayi üretim endeksi </w:t>
      </w:r>
    </w:p>
    <w:p w:rsidR="00553D53" w:rsidRPr="00553D53" w:rsidRDefault="00553D53" w:rsidP="00553D53">
      <w:pPr>
        <w:ind w:firstLine="720"/>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(mevsim ve takvim etkilerinden arındırılmış, 2015=100)</w:t>
      </w:r>
    </w:p>
    <w:p w:rsidR="00553D53" w:rsidRPr="00553D53" w:rsidRDefault="00553D53" w:rsidP="00553D53">
      <w:pPr>
        <w:jc w:val="both"/>
        <w:outlineLvl w:val="1"/>
        <w:rPr>
          <w:rFonts w:eastAsia="Times New Roman" w:cs="Times New Roman"/>
          <w:b/>
          <w:bCs/>
          <w:kern w:val="36"/>
          <w:sz w:val="28"/>
          <w:szCs w:val="24"/>
          <w:lang w:eastAsia="tr-TR"/>
        </w:rPr>
      </w:pPr>
      <w:r w:rsidRPr="00553D53">
        <w:rPr>
          <w:rFonts w:eastAsiaTheme="minorEastAsia"/>
          <w:noProof/>
          <w:lang w:eastAsia="tr-TR"/>
        </w:rPr>
        <w:lastRenderedPageBreak/>
        <w:drawing>
          <wp:inline distT="0" distB="0" distL="0" distR="0" wp14:anchorId="25E56FFD" wp14:editId="6E05F794">
            <wp:extent cx="5972810" cy="2225040"/>
            <wp:effectExtent l="0" t="0" r="27940" b="22860"/>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53D53" w:rsidRPr="00553D53" w:rsidRDefault="00553D53" w:rsidP="00553D53">
      <w:pPr>
        <w:jc w:val="both"/>
        <w:rPr>
          <w:rFonts w:eastAsiaTheme="minorEastAsia"/>
          <w:lang w:eastAsia="tr-TR"/>
        </w:rPr>
      </w:pPr>
      <w:r w:rsidRPr="00553D53">
        <w:rPr>
          <w:rFonts w:eastAsiaTheme="minorEastAsia"/>
          <w:lang w:eastAsia="tr-TR"/>
        </w:rPr>
        <w:t xml:space="preserve">Kasım ayında Türkiye (TR) Geneli Sanayi Üretim Endeksi </w:t>
      </w:r>
      <w:r w:rsidRPr="00553D53">
        <w:rPr>
          <w:rFonts w:eastAsiaTheme="minorEastAsia"/>
          <w:b/>
          <w:u w:val="single"/>
          <w:lang w:eastAsia="tr-TR"/>
        </w:rPr>
        <w:t>bir önceki aya (Ekim 2018) göre</w:t>
      </w:r>
      <w:r w:rsidRPr="00553D53">
        <w:rPr>
          <w:rFonts w:eastAsiaTheme="minorEastAsia"/>
          <w:lang w:eastAsia="tr-TR"/>
        </w:rPr>
        <w:t xml:space="preserve"> yüzde 0,3 azalış göstermiştir. Kasım (2018) ayındaki azalışta bir önceki aya göre madencilik ve </w:t>
      </w:r>
      <w:proofErr w:type="spellStart"/>
      <w:r w:rsidRPr="00553D53">
        <w:rPr>
          <w:rFonts w:eastAsiaTheme="minorEastAsia"/>
          <w:lang w:eastAsia="tr-TR"/>
        </w:rPr>
        <w:t>taşocakçılığı</w:t>
      </w:r>
      <w:proofErr w:type="spellEnd"/>
      <w:r w:rsidRPr="00553D53">
        <w:rPr>
          <w:rFonts w:eastAsiaTheme="minorEastAsia"/>
          <w:lang w:eastAsia="tr-TR"/>
        </w:rPr>
        <w:t xml:space="preserve"> sektöründeki 3,7’lik ve imalat sanayi sektöründeki yüzde 0,1’lik azalışın etkili olduğu görülmektedir. Elektrik, gaz, buhar ve iklimlendirme üretimi ve dağıtımı sektöründe ise değişim yaşanmamıştır.</w:t>
      </w:r>
    </w:p>
    <w:p w:rsidR="00553D53" w:rsidRPr="00553D53" w:rsidRDefault="00553D53" w:rsidP="00553D53">
      <w:pPr>
        <w:jc w:val="both"/>
        <w:rPr>
          <w:rFonts w:eastAsiaTheme="minorEastAsia"/>
          <w:lang w:eastAsia="tr-TR"/>
        </w:rPr>
      </w:pPr>
      <w:r w:rsidRPr="00553D53">
        <w:rPr>
          <w:rFonts w:eastAsiaTheme="minorEastAsia"/>
          <w:lang w:eastAsia="tr-TR"/>
        </w:rPr>
        <w:t>Ana sanayi gruplarına bakıldığında toplam sanayi endeksindeki azalışta ara malı, sermaye malı ve enerji sektöründe yaşanan azalışın etkisi olduğu görülmektedir (sırasıyla yüzde 1,6’lık, 0,5’lik ve 0,3’lük azalışlar).</w:t>
      </w:r>
    </w:p>
    <w:p w:rsidR="00553D53" w:rsidRPr="00553D53" w:rsidRDefault="00553D53" w:rsidP="00553D53">
      <w:pPr>
        <w:jc w:val="both"/>
        <w:rPr>
          <w:rFonts w:eastAsiaTheme="minorEastAsia"/>
          <w:lang w:eastAsia="tr-TR"/>
        </w:rPr>
      </w:pPr>
      <w:r w:rsidRPr="00553D53">
        <w:rPr>
          <w:rFonts w:eastAsiaTheme="minorEastAsia"/>
          <w:lang w:eastAsia="tr-TR"/>
        </w:rPr>
        <w:t xml:space="preserve">Teknoloji sınıflarına bakıldığında bir önceki aya göre orta yüksek teknolojili üretimde yüzde 2,1’lik ve düşük teknolojili üretimde yüzde 0,9’luk artış olduğu görülmektedir. Yüksek teknolojili üretimde yüzde 3,5’lik ve orta düşük teknolojili üretimde 2,4’lük azalış yaşanmıştır.  </w:t>
      </w:r>
    </w:p>
    <w:p w:rsidR="00553D53" w:rsidRPr="00553D53" w:rsidRDefault="00553D53" w:rsidP="00553D53">
      <w:pPr>
        <w:jc w:val="both"/>
        <w:outlineLvl w:val="1"/>
        <w:rPr>
          <w:rFonts w:eastAsia="Times New Roman" w:cs="Times New Roman"/>
          <w:b/>
          <w:bCs/>
          <w:kern w:val="36"/>
          <w:sz w:val="24"/>
          <w:szCs w:val="24"/>
          <w:lang w:eastAsia="tr-TR"/>
        </w:rPr>
      </w:pPr>
    </w:p>
    <w:p w:rsidR="00553D53" w:rsidRPr="00553D53" w:rsidRDefault="00553D53" w:rsidP="00553D53">
      <w:pPr>
        <w:jc w:val="both"/>
        <w:outlineLvl w:val="1"/>
        <w:rPr>
          <w:rFonts w:eastAsia="Times New Roman" w:cs="Times New Roman"/>
          <w:b/>
          <w:bCs/>
          <w:kern w:val="36"/>
          <w:sz w:val="24"/>
          <w:szCs w:val="24"/>
          <w:lang w:eastAsia="tr-TR"/>
        </w:rPr>
      </w:pPr>
    </w:p>
    <w:p w:rsidR="00553D53" w:rsidRPr="00553D53" w:rsidRDefault="00553D53" w:rsidP="00553D53">
      <w:pPr>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 xml:space="preserve">Şekil 2: Yıllara göre Kasım ayları itibariyle sanayi üretim endeksi </w:t>
      </w:r>
    </w:p>
    <w:p w:rsidR="00553D53" w:rsidRPr="00553D53" w:rsidRDefault="00553D53" w:rsidP="00553D53">
      <w:pPr>
        <w:ind w:firstLine="720"/>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(takvim etkisinden arındırılmış, 2015=100)</w:t>
      </w:r>
    </w:p>
    <w:p w:rsidR="00553D53" w:rsidRPr="00553D53" w:rsidRDefault="00553D53" w:rsidP="00553D53">
      <w:pPr>
        <w:jc w:val="both"/>
        <w:outlineLvl w:val="1"/>
        <w:rPr>
          <w:rFonts w:eastAsia="Times New Roman" w:cs="Times New Roman"/>
          <w:b/>
          <w:bCs/>
          <w:kern w:val="36"/>
          <w:sz w:val="24"/>
          <w:szCs w:val="24"/>
          <w:lang w:eastAsia="tr-TR"/>
        </w:rPr>
      </w:pPr>
      <w:r w:rsidRPr="00553D53">
        <w:rPr>
          <w:rFonts w:eastAsiaTheme="minorEastAsia"/>
          <w:noProof/>
          <w:lang w:eastAsia="tr-TR"/>
        </w:rPr>
        <w:lastRenderedPageBreak/>
        <w:drawing>
          <wp:inline distT="0" distB="0" distL="0" distR="0" wp14:anchorId="75F7CB38" wp14:editId="3E3C171C">
            <wp:extent cx="5972810" cy="2683510"/>
            <wp:effectExtent l="0" t="0" r="27940" b="2159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53D53" w:rsidRPr="00553D53" w:rsidRDefault="00553D53" w:rsidP="00553D53">
      <w:pPr>
        <w:jc w:val="both"/>
        <w:rPr>
          <w:rFonts w:eastAsiaTheme="minorEastAsia"/>
          <w:lang w:eastAsia="tr-TR"/>
        </w:rPr>
      </w:pPr>
      <w:r w:rsidRPr="00553D53">
        <w:rPr>
          <w:rFonts w:eastAsiaTheme="minorEastAsia"/>
          <w:lang w:eastAsia="tr-TR"/>
        </w:rPr>
        <w:t xml:space="preserve">Endeks </w:t>
      </w:r>
      <w:r w:rsidRPr="00553D53">
        <w:rPr>
          <w:rFonts w:eastAsiaTheme="minorEastAsia"/>
          <w:b/>
          <w:u w:val="single"/>
          <w:lang w:eastAsia="tr-TR"/>
        </w:rPr>
        <w:t>bir önceki yılın aynı ayına göre</w:t>
      </w:r>
      <w:r w:rsidRPr="00553D53">
        <w:rPr>
          <w:rFonts w:eastAsiaTheme="minorEastAsia"/>
          <w:lang w:eastAsia="tr-TR"/>
        </w:rPr>
        <w:t xml:space="preserve"> yüzde 6,5 oranında azalış göstermiştir. Kasım (2018) ayında önceki yıla göre ana sanayi sektörleri itibariyle en yüksek azalış yüzde 7,1 ile imalat sanayi sektöründe gerçekleşmiştir. Bu sektörü, yüzde 1,8 azalışla elektrik, gaz, buhar ve iklimlendirme üretimi ve dağıtımı ve yüzde 1,1 azalışla madencilik ve </w:t>
      </w:r>
      <w:proofErr w:type="spellStart"/>
      <w:r w:rsidRPr="00553D53">
        <w:rPr>
          <w:rFonts w:eastAsiaTheme="minorEastAsia"/>
          <w:lang w:eastAsia="tr-TR"/>
        </w:rPr>
        <w:t>taşocakçılığı</w:t>
      </w:r>
      <w:proofErr w:type="spellEnd"/>
      <w:r w:rsidRPr="00553D53">
        <w:rPr>
          <w:rFonts w:eastAsiaTheme="minorEastAsia"/>
          <w:lang w:eastAsia="tr-TR"/>
        </w:rPr>
        <w:t xml:space="preserve"> sektörleri takip etmiştir.  </w:t>
      </w:r>
    </w:p>
    <w:p w:rsidR="00553D53" w:rsidRPr="00553D53" w:rsidRDefault="00553D53" w:rsidP="00553D53">
      <w:pPr>
        <w:jc w:val="both"/>
        <w:rPr>
          <w:rFonts w:eastAsiaTheme="minorEastAsia"/>
          <w:lang w:eastAsia="tr-TR"/>
        </w:rPr>
      </w:pPr>
      <w:r w:rsidRPr="00553D53">
        <w:rPr>
          <w:rFonts w:eastAsiaTheme="minorEastAsia"/>
          <w:lang w:eastAsia="tr-TR"/>
        </w:rPr>
        <w:t xml:space="preserve">Ana sanayi gruplarına bakıldığında, ara malı imalatında yüzde 11,9’luk, sermaye malı imalatında yüzde 8,3’lük ve dayanıksız tüketim malı imalatında yüzde 2,8’lik azalış yaşanmıştır. </w:t>
      </w:r>
    </w:p>
    <w:p w:rsidR="00553D53" w:rsidRPr="00553D53" w:rsidRDefault="00553D53" w:rsidP="00553D53">
      <w:pPr>
        <w:jc w:val="both"/>
        <w:rPr>
          <w:rFonts w:eastAsiaTheme="minorEastAsia"/>
          <w:lang w:eastAsia="tr-TR"/>
        </w:rPr>
      </w:pPr>
      <w:r w:rsidRPr="00553D53">
        <w:rPr>
          <w:rFonts w:eastAsiaTheme="minorEastAsia"/>
          <w:lang w:eastAsia="tr-TR"/>
        </w:rPr>
        <w:t>Bir önceki yılın aynı ayına göre değişime teknoloji sınıflarına göre bakıldığında en yüksek azalışın yüzde 14,2’lik azalışla orta düşük teknolojili üretimde olduğu görülmektedir. Orta düşük teknolojili üretimi yüzde 7,6’lık azalış ile orta yüksek teknolojili üretim ve yüzde 3,5’lik azalış ile düşük teknolojili üretim takip etmiştir. Yüksek teknolojili üretim yüzde 5,9’luk artış göstermiştir.</w:t>
      </w:r>
    </w:p>
    <w:p w:rsidR="00553D53" w:rsidRPr="00553D53" w:rsidRDefault="00553D53" w:rsidP="00553D53">
      <w:pPr>
        <w:jc w:val="both"/>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tbl>
      <w:tblPr>
        <w:tblStyle w:val="TabloKlavuzu"/>
        <w:tblW w:w="0" w:type="auto"/>
        <w:tblLook w:val="04A0" w:firstRow="1" w:lastRow="0" w:firstColumn="1" w:lastColumn="0" w:noHBand="0" w:noVBand="1"/>
      </w:tblPr>
      <w:tblGrid>
        <w:gridCol w:w="4110"/>
        <w:gridCol w:w="2153"/>
        <w:gridCol w:w="2067"/>
      </w:tblGrid>
      <w:tr w:rsidR="00553D53" w:rsidRPr="00553D53" w:rsidTr="00744398">
        <w:trPr>
          <w:trHeight w:val="264"/>
        </w:trPr>
        <w:tc>
          <w:tcPr>
            <w:tcW w:w="4110" w:type="dxa"/>
            <w:noWrap/>
            <w:hideMark/>
          </w:tcPr>
          <w:p w:rsidR="00553D53" w:rsidRPr="00553D53" w:rsidRDefault="00553D53" w:rsidP="00553D53">
            <w:pPr>
              <w:jc w:val="both"/>
            </w:pPr>
            <w:r w:rsidRPr="00553D53">
              <w:rPr>
                <w:b/>
              </w:rPr>
              <w:t>Tablo 1: Sanayi Üretim Endeksi Büyüme Oranları,  Kasım 2018</w:t>
            </w:r>
          </w:p>
        </w:tc>
        <w:tc>
          <w:tcPr>
            <w:tcW w:w="2153" w:type="dxa"/>
            <w:noWrap/>
            <w:hideMark/>
          </w:tcPr>
          <w:p w:rsidR="00553D53" w:rsidRPr="00553D53" w:rsidRDefault="00553D53" w:rsidP="00553D53">
            <w:pPr>
              <w:jc w:val="both"/>
            </w:pPr>
            <w:r w:rsidRPr="00553D53">
              <w:t>Önceki Aya Göre (%)</w:t>
            </w:r>
          </w:p>
        </w:tc>
        <w:tc>
          <w:tcPr>
            <w:tcW w:w="2067" w:type="dxa"/>
            <w:noWrap/>
            <w:hideMark/>
          </w:tcPr>
          <w:p w:rsidR="00553D53" w:rsidRPr="00553D53" w:rsidRDefault="00553D53" w:rsidP="00553D53">
            <w:pPr>
              <w:jc w:val="both"/>
            </w:pPr>
            <w:r w:rsidRPr="00553D53">
              <w:t>Önceki Yıla Göre (%)</w:t>
            </w:r>
          </w:p>
        </w:tc>
      </w:tr>
      <w:tr w:rsidR="00553D53" w:rsidRPr="00553D53" w:rsidTr="00744398">
        <w:trPr>
          <w:trHeight w:val="264"/>
        </w:trPr>
        <w:tc>
          <w:tcPr>
            <w:tcW w:w="4110" w:type="dxa"/>
            <w:noWrap/>
            <w:hideMark/>
          </w:tcPr>
          <w:p w:rsidR="00553D53" w:rsidRPr="00553D53" w:rsidRDefault="00553D53" w:rsidP="00553D53">
            <w:pPr>
              <w:jc w:val="both"/>
            </w:pPr>
            <w:r w:rsidRPr="00553D53">
              <w:t>Ara Malı</w:t>
            </w:r>
          </w:p>
        </w:tc>
        <w:tc>
          <w:tcPr>
            <w:tcW w:w="2153" w:type="dxa"/>
            <w:noWrap/>
            <w:vAlign w:val="center"/>
            <w:hideMark/>
          </w:tcPr>
          <w:p w:rsidR="00553D53" w:rsidRPr="00553D53" w:rsidRDefault="00553D53" w:rsidP="00553D53">
            <w:pPr>
              <w:jc w:val="center"/>
            </w:pPr>
            <w:r w:rsidRPr="00553D53">
              <w:t>-1,6</w:t>
            </w:r>
          </w:p>
        </w:tc>
        <w:tc>
          <w:tcPr>
            <w:tcW w:w="2067" w:type="dxa"/>
            <w:noWrap/>
            <w:vAlign w:val="center"/>
            <w:hideMark/>
          </w:tcPr>
          <w:p w:rsidR="00553D53" w:rsidRPr="00553D53" w:rsidRDefault="00553D53" w:rsidP="00553D53">
            <w:pPr>
              <w:jc w:val="center"/>
            </w:pPr>
            <w:r w:rsidRPr="00553D53">
              <w:t>-11,9</w:t>
            </w:r>
          </w:p>
        </w:tc>
      </w:tr>
      <w:tr w:rsidR="00553D53" w:rsidRPr="00553D53" w:rsidTr="00744398">
        <w:trPr>
          <w:trHeight w:val="264"/>
        </w:trPr>
        <w:tc>
          <w:tcPr>
            <w:tcW w:w="4110" w:type="dxa"/>
            <w:noWrap/>
            <w:hideMark/>
          </w:tcPr>
          <w:p w:rsidR="00553D53" w:rsidRPr="00553D53" w:rsidRDefault="00553D53" w:rsidP="00553D53">
            <w:pPr>
              <w:jc w:val="both"/>
            </w:pPr>
            <w:r w:rsidRPr="00553D53">
              <w:t>Dayanıklı Tüketim Malı</w:t>
            </w:r>
          </w:p>
        </w:tc>
        <w:tc>
          <w:tcPr>
            <w:tcW w:w="2153" w:type="dxa"/>
            <w:noWrap/>
            <w:vAlign w:val="center"/>
            <w:hideMark/>
          </w:tcPr>
          <w:p w:rsidR="00553D53" w:rsidRPr="00553D53" w:rsidRDefault="00553D53" w:rsidP="00553D53">
            <w:pPr>
              <w:jc w:val="center"/>
            </w:pPr>
            <w:r w:rsidRPr="00553D53">
              <w:t>7,6</w:t>
            </w:r>
          </w:p>
        </w:tc>
        <w:tc>
          <w:tcPr>
            <w:tcW w:w="2067" w:type="dxa"/>
            <w:noWrap/>
            <w:vAlign w:val="center"/>
            <w:hideMark/>
          </w:tcPr>
          <w:p w:rsidR="00553D53" w:rsidRPr="00553D53" w:rsidRDefault="00553D53" w:rsidP="00553D53">
            <w:pPr>
              <w:jc w:val="center"/>
            </w:pPr>
            <w:r w:rsidRPr="00553D53">
              <w:t>10,0</w:t>
            </w:r>
          </w:p>
        </w:tc>
      </w:tr>
      <w:tr w:rsidR="00553D53" w:rsidRPr="00553D53" w:rsidTr="00744398">
        <w:trPr>
          <w:trHeight w:val="264"/>
        </w:trPr>
        <w:tc>
          <w:tcPr>
            <w:tcW w:w="4110" w:type="dxa"/>
            <w:noWrap/>
            <w:hideMark/>
          </w:tcPr>
          <w:p w:rsidR="00553D53" w:rsidRPr="00553D53" w:rsidRDefault="00553D53" w:rsidP="00553D53">
            <w:pPr>
              <w:jc w:val="both"/>
            </w:pPr>
            <w:r w:rsidRPr="00553D53">
              <w:lastRenderedPageBreak/>
              <w:t>Dayanıksız Tüketim Malı</w:t>
            </w:r>
          </w:p>
        </w:tc>
        <w:tc>
          <w:tcPr>
            <w:tcW w:w="2153" w:type="dxa"/>
            <w:noWrap/>
            <w:vAlign w:val="center"/>
            <w:hideMark/>
          </w:tcPr>
          <w:p w:rsidR="00553D53" w:rsidRPr="00553D53" w:rsidRDefault="00553D53" w:rsidP="00553D53">
            <w:pPr>
              <w:jc w:val="center"/>
            </w:pPr>
            <w:r w:rsidRPr="00553D53">
              <w:t>0,4</w:t>
            </w:r>
          </w:p>
        </w:tc>
        <w:tc>
          <w:tcPr>
            <w:tcW w:w="2067" w:type="dxa"/>
            <w:noWrap/>
            <w:vAlign w:val="center"/>
            <w:hideMark/>
          </w:tcPr>
          <w:p w:rsidR="00553D53" w:rsidRPr="00553D53" w:rsidRDefault="00553D53" w:rsidP="00553D53">
            <w:r w:rsidRPr="00553D53">
              <w:t xml:space="preserve">               -2,8</w:t>
            </w:r>
          </w:p>
        </w:tc>
      </w:tr>
      <w:tr w:rsidR="00553D53" w:rsidRPr="00553D53" w:rsidTr="00744398">
        <w:trPr>
          <w:trHeight w:val="264"/>
        </w:trPr>
        <w:tc>
          <w:tcPr>
            <w:tcW w:w="4110" w:type="dxa"/>
            <w:noWrap/>
            <w:hideMark/>
          </w:tcPr>
          <w:p w:rsidR="00553D53" w:rsidRPr="00553D53" w:rsidRDefault="00553D53" w:rsidP="00553D53">
            <w:pPr>
              <w:jc w:val="both"/>
            </w:pPr>
            <w:r w:rsidRPr="00553D53">
              <w:t>Enerji</w:t>
            </w:r>
          </w:p>
        </w:tc>
        <w:tc>
          <w:tcPr>
            <w:tcW w:w="2153" w:type="dxa"/>
            <w:noWrap/>
            <w:vAlign w:val="center"/>
            <w:hideMark/>
          </w:tcPr>
          <w:p w:rsidR="00553D53" w:rsidRPr="00553D53" w:rsidRDefault="00553D53" w:rsidP="00553D53">
            <w:pPr>
              <w:jc w:val="center"/>
            </w:pPr>
            <w:r w:rsidRPr="00553D53">
              <w:t>-0,3</w:t>
            </w:r>
          </w:p>
        </w:tc>
        <w:tc>
          <w:tcPr>
            <w:tcW w:w="2067" w:type="dxa"/>
            <w:noWrap/>
            <w:vAlign w:val="center"/>
            <w:hideMark/>
          </w:tcPr>
          <w:p w:rsidR="00553D53" w:rsidRPr="00553D53" w:rsidRDefault="00553D53" w:rsidP="00553D53">
            <w:pPr>
              <w:jc w:val="center"/>
            </w:pPr>
            <w:r w:rsidRPr="00553D53">
              <w:t>0,7</w:t>
            </w:r>
          </w:p>
        </w:tc>
      </w:tr>
      <w:tr w:rsidR="00553D53" w:rsidRPr="00553D53" w:rsidTr="00744398">
        <w:trPr>
          <w:trHeight w:val="264"/>
        </w:trPr>
        <w:tc>
          <w:tcPr>
            <w:tcW w:w="4110" w:type="dxa"/>
            <w:noWrap/>
            <w:hideMark/>
          </w:tcPr>
          <w:p w:rsidR="00553D53" w:rsidRPr="00553D53" w:rsidRDefault="00553D53" w:rsidP="00553D53">
            <w:pPr>
              <w:jc w:val="both"/>
            </w:pPr>
            <w:r w:rsidRPr="00553D53">
              <w:t>Sermaye Malı</w:t>
            </w:r>
          </w:p>
        </w:tc>
        <w:tc>
          <w:tcPr>
            <w:tcW w:w="2153" w:type="dxa"/>
            <w:noWrap/>
            <w:vAlign w:val="center"/>
            <w:hideMark/>
          </w:tcPr>
          <w:p w:rsidR="00553D53" w:rsidRPr="00553D53" w:rsidRDefault="00553D53" w:rsidP="00553D53">
            <w:pPr>
              <w:jc w:val="center"/>
            </w:pPr>
            <w:r w:rsidRPr="00553D53">
              <w:t>-0,5</w:t>
            </w:r>
          </w:p>
        </w:tc>
        <w:tc>
          <w:tcPr>
            <w:tcW w:w="2067" w:type="dxa"/>
            <w:noWrap/>
            <w:vAlign w:val="center"/>
            <w:hideMark/>
          </w:tcPr>
          <w:p w:rsidR="00553D53" w:rsidRPr="00553D53" w:rsidRDefault="00553D53" w:rsidP="00553D53">
            <w:pPr>
              <w:jc w:val="center"/>
            </w:pPr>
            <w:r w:rsidRPr="00553D53">
              <w:t>-8,3</w:t>
            </w:r>
          </w:p>
        </w:tc>
      </w:tr>
      <w:tr w:rsidR="00553D53" w:rsidRPr="00553D53" w:rsidTr="00744398">
        <w:trPr>
          <w:trHeight w:val="264"/>
        </w:trPr>
        <w:tc>
          <w:tcPr>
            <w:tcW w:w="4110" w:type="dxa"/>
            <w:noWrap/>
            <w:hideMark/>
          </w:tcPr>
          <w:p w:rsidR="00553D53" w:rsidRPr="00553D53" w:rsidRDefault="00553D53" w:rsidP="00553D53">
            <w:pPr>
              <w:jc w:val="both"/>
              <w:rPr>
                <w:b/>
              </w:rPr>
            </w:pPr>
            <w:r w:rsidRPr="00553D53">
              <w:rPr>
                <w:b/>
              </w:rPr>
              <w:t>TOPLAM</w:t>
            </w:r>
          </w:p>
        </w:tc>
        <w:tc>
          <w:tcPr>
            <w:tcW w:w="2153" w:type="dxa"/>
            <w:noWrap/>
            <w:vAlign w:val="center"/>
            <w:hideMark/>
          </w:tcPr>
          <w:p w:rsidR="00553D53" w:rsidRPr="00553D53" w:rsidRDefault="00553D53" w:rsidP="00553D53">
            <w:pPr>
              <w:jc w:val="center"/>
              <w:rPr>
                <w:b/>
              </w:rPr>
            </w:pPr>
            <w:r w:rsidRPr="00553D53">
              <w:rPr>
                <w:b/>
              </w:rPr>
              <w:t>-0,3</w:t>
            </w:r>
          </w:p>
        </w:tc>
        <w:tc>
          <w:tcPr>
            <w:tcW w:w="2067" w:type="dxa"/>
            <w:noWrap/>
            <w:vAlign w:val="center"/>
            <w:hideMark/>
          </w:tcPr>
          <w:p w:rsidR="00553D53" w:rsidRPr="00553D53" w:rsidRDefault="00553D53" w:rsidP="00553D53">
            <w:pPr>
              <w:jc w:val="center"/>
              <w:rPr>
                <w:b/>
              </w:rPr>
            </w:pPr>
            <w:r w:rsidRPr="00553D53">
              <w:rPr>
                <w:b/>
              </w:rPr>
              <w:t>-6,5</w:t>
            </w:r>
          </w:p>
        </w:tc>
      </w:tr>
      <w:tr w:rsidR="00553D53" w:rsidRPr="00553D53" w:rsidTr="00744398">
        <w:trPr>
          <w:trHeight w:val="264"/>
        </w:trPr>
        <w:tc>
          <w:tcPr>
            <w:tcW w:w="4110" w:type="dxa"/>
            <w:shd w:val="clear" w:color="auto" w:fill="808080" w:themeFill="background1" w:themeFillShade="80"/>
            <w:noWrap/>
            <w:hideMark/>
          </w:tcPr>
          <w:p w:rsidR="00553D53" w:rsidRPr="00553D53" w:rsidRDefault="00553D53" w:rsidP="00553D53">
            <w:pPr>
              <w:jc w:val="both"/>
              <w:rPr>
                <w:b/>
              </w:rPr>
            </w:pPr>
          </w:p>
        </w:tc>
        <w:tc>
          <w:tcPr>
            <w:tcW w:w="2153" w:type="dxa"/>
            <w:shd w:val="clear" w:color="auto" w:fill="808080" w:themeFill="background1" w:themeFillShade="80"/>
            <w:noWrap/>
            <w:hideMark/>
          </w:tcPr>
          <w:p w:rsidR="00553D53" w:rsidRPr="00553D53" w:rsidRDefault="00553D53" w:rsidP="00553D53">
            <w:pPr>
              <w:jc w:val="both"/>
            </w:pPr>
          </w:p>
        </w:tc>
        <w:tc>
          <w:tcPr>
            <w:tcW w:w="2067" w:type="dxa"/>
            <w:shd w:val="clear" w:color="auto" w:fill="808080" w:themeFill="background1" w:themeFillShade="80"/>
            <w:noWrap/>
            <w:hideMark/>
          </w:tcPr>
          <w:p w:rsidR="00553D53" w:rsidRPr="00553D53" w:rsidRDefault="00553D53" w:rsidP="00553D53">
            <w:pPr>
              <w:jc w:val="both"/>
            </w:pPr>
          </w:p>
        </w:tc>
      </w:tr>
      <w:tr w:rsidR="00553D53" w:rsidRPr="00553D53" w:rsidTr="00744398">
        <w:trPr>
          <w:trHeight w:val="264"/>
        </w:trPr>
        <w:tc>
          <w:tcPr>
            <w:tcW w:w="4110" w:type="dxa"/>
            <w:noWrap/>
            <w:hideMark/>
          </w:tcPr>
          <w:p w:rsidR="00553D53" w:rsidRPr="00553D53" w:rsidRDefault="00553D53" w:rsidP="00553D53">
            <w:pPr>
              <w:jc w:val="both"/>
            </w:pPr>
            <w:r w:rsidRPr="00553D53">
              <w:rPr>
                <w:b/>
              </w:rPr>
              <w:t xml:space="preserve">Tablo 2: Sanayi Üretim Endeksi </w:t>
            </w:r>
            <w:proofErr w:type="spellStart"/>
            <w:r w:rsidRPr="00553D53">
              <w:rPr>
                <w:b/>
              </w:rPr>
              <w:t>Sektörel</w:t>
            </w:r>
            <w:proofErr w:type="spellEnd"/>
            <w:r w:rsidRPr="00553D53">
              <w:rPr>
                <w:b/>
              </w:rPr>
              <w:t xml:space="preserve"> Büyüme Oranları, Kasım 2018</w:t>
            </w:r>
          </w:p>
        </w:tc>
        <w:tc>
          <w:tcPr>
            <w:tcW w:w="2153" w:type="dxa"/>
            <w:noWrap/>
            <w:hideMark/>
          </w:tcPr>
          <w:p w:rsidR="00553D53" w:rsidRPr="00553D53" w:rsidRDefault="00553D53" w:rsidP="00553D53">
            <w:pPr>
              <w:jc w:val="both"/>
            </w:pPr>
            <w:r w:rsidRPr="00553D53">
              <w:t>Önceki Aya Göre (%)</w:t>
            </w:r>
          </w:p>
        </w:tc>
        <w:tc>
          <w:tcPr>
            <w:tcW w:w="2067" w:type="dxa"/>
            <w:noWrap/>
            <w:hideMark/>
          </w:tcPr>
          <w:p w:rsidR="00553D53" w:rsidRPr="00553D53" w:rsidRDefault="00553D53" w:rsidP="00553D53">
            <w:pPr>
              <w:jc w:val="both"/>
            </w:pPr>
            <w:r w:rsidRPr="00553D53">
              <w:t>Önceki Yıla Göre (%)</w:t>
            </w:r>
          </w:p>
        </w:tc>
      </w:tr>
      <w:tr w:rsidR="00553D53" w:rsidRPr="00553D53" w:rsidTr="00744398">
        <w:trPr>
          <w:trHeight w:val="264"/>
        </w:trPr>
        <w:tc>
          <w:tcPr>
            <w:tcW w:w="4110" w:type="dxa"/>
            <w:noWrap/>
            <w:hideMark/>
          </w:tcPr>
          <w:p w:rsidR="00553D53" w:rsidRPr="00553D53" w:rsidRDefault="00553D53" w:rsidP="00553D53">
            <w:r w:rsidRPr="00553D53">
              <w:t xml:space="preserve">Madencilik ve </w:t>
            </w:r>
            <w:proofErr w:type="spellStart"/>
            <w:r w:rsidRPr="00553D53">
              <w:t>Taşocakçılığı</w:t>
            </w:r>
            <w:proofErr w:type="spellEnd"/>
          </w:p>
        </w:tc>
        <w:tc>
          <w:tcPr>
            <w:tcW w:w="2153" w:type="dxa"/>
            <w:noWrap/>
            <w:vAlign w:val="center"/>
            <w:hideMark/>
          </w:tcPr>
          <w:p w:rsidR="00553D53" w:rsidRPr="00553D53" w:rsidRDefault="00553D53" w:rsidP="00553D53">
            <w:pPr>
              <w:jc w:val="center"/>
            </w:pPr>
            <w:r w:rsidRPr="00553D53">
              <w:t>-3,7</w:t>
            </w:r>
          </w:p>
        </w:tc>
        <w:tc>
          <w:tcPr>
            <w:tcW w:w="2067" w:type="dxa"/>
            <w:noWrap/>
            <w:vAlign w:val="center"/>
            <w:hideMark/>
          </w:tcPr>
          <w:p w:rsidR="00553D53" w:rsidRPr="00553D53" w:rsidRDefault="00553D53" w:rsidP="00553D53">
            <w:pPr>
              <w:jc w:val="center"/>
            </w:pPr>
            <w:r w:rsidRPr="00553D53">
              <w:t>-1,1</w:t>
            </w:r>
          </w:p>
        </w:tc>
      </w:tr>
      <w:tr w:rsidR="00553D53" w:rsidRPr="00553D53" w:rsidTr="00744398">
        <w:trPr>
          <w:trHeight w:val="264"/>
        </w:trPr>
        <w:tc>
          <w:tcPr>
            <w:tcW w:w="4110" w:type="dxa"/>
            <w:noWrap/>
            <w:hideMark/>
          </w:tcPr>
          <w:p w:rsidR="00553D53" w:rsidRPr="00553D53" w:rsidRDefault="00553D53" w:rsidP="00553D53">
            <w:pPr>
              <w:jc w:val="both"/>
            </w:pPr>
            <w:r w:rsidRPr="00553D53">
              <w:t>İmalat Sanayi</w:t>
            </w:r>
          </w:p>
        </w:tc>
        <w:tc>
          <w:tcPr>
            <w:tcW w:w="2153" w:type="dxa"/>
            <w:noWrap/>
            <w:vAlign w:val="center"/>
            <w:hideMark/>
          </w:tcPr>
          <w:p w:rsidR="00553D53" w:rsidRPr="00553D53" w:rsidRDefault="00553D53" w:rsidP="00553D53">
            <w:pPr>
              <w:jc w:val="center"/>
            </w:pPr>
            <w:r w:rsidRPr="00553D53">
              <w:t>-0,1</w:t>
            </w:r>
          </w:p>
        </w:tc>
        <w:tc>
          <w:tcPr>
            <w:tcW w:w="2067" w:type="dxa"/>
            <w:noWrap/>
            <w:vAlign w:val="center"/>
            <w:hideMark/>
          </w:tcPr>
          <w:p w:rsidR="00553D53" w:rsidRPr="00553D53" w:rsidRDefault="00553D53" w:rsidP="00553D53">
            <w:pPr>
              <w:jc w:val="center"/>
            </w:pPr>
            <w:r w:rsidRPr="00553D53">
              <w:t>-7,1</w:t>
            </w:r>
          </w:p>
        </w:tc>
      </w:tr>
      <w:tr w:rsidR="00553D53" w:rsidRPr="00553D53" w:rsidTr="00744398">
        <w:trPr>
          <w:trHeight w:val="264"/>
        </w:trPr>
        <w:tc>
          <w:tcPr>
            <w:tcW w:w="4110" w:type="dxa"/>
            <w:noWrap/>
            <w:hideMark/>
          </w:tcPr>
          <w:p w:rsidR="00553D53" w:rsidRPr="00553D53" w:rsidRDefault="00553D53" w:rsidP="00553D53">
            <w:pPr>
              <w:jc w:val="both"/>
            </w:pPr>
            <w:r w:rsidRPr="00553D53">
              <w:t>Elektrik, Gaz, Buhar ve İklimlendirme Üretimi ve Dağıtımı</w:t>
            </w:r>
          </w:p>
        </w:tc>
        <w:tc>
          <w:tcPr>
            <w:tcW w:w="2153" w:type="dxa"/>
            <w:noWrap/>
            <w:vAlign w:val="center"/>
            <w:hideMark/>
          </w:tcPr>
          <w:p w:rsidR="00553D53" w:rsidRPr="00553D53" w:rsidRDefault="00553D53" w:rsidP="00553D53">
            <w:pPr>
              <w:jc w:val="center"/>
            </w:pPr>
            <w:r w:rsidRPr="00553D53">
              <w:t>0,0</w:t>
            </w:r>
          </w:p>
        </w:tc>
        <w:tc>
          <w:tcPr>
            <w:tcW w:w="2067" w:type="dxa"/>
            <w:noWrap/>
            <w:vAlign w:val="center"/>
            <w:hideMark/>
          </w:tcPr>
          <w:p w:rsidR="00553D53" w:rsidRPr="00553D53" w:rsidRDefault="00553D53" w:rsidP="00553D53">
            <w:pPr>
              <w:jc w:val="center"/>
            </w:pPr>
            <w:r w:rsidRPr="00553D53">
              <w:t>-1,8</w:t>
            </w:r>
          </w:p>
        </w:tc>
      </w:tr>
      <w:tr w:rsidR="00553D53" w:rsidRPr="00553D53" w:rsidTr="00744398">
        <w:trPr>
          <w:trHeight w:val="264"/>
        </w:trPr>
        <w:tc>
          <w:tcPr>
            <w:tcW w:w="4110" w:type="dxa"/>
            <w:noWrap/>
            <w:hideMark/>
          </w:tcPr>
          <w:p w:rsidR="00553D53" w:rsidRPr="00553D53" w:rsidRDefault="00553D53" w:rsidP="00553D53">
            <w:pPr>
              <w:jc w:val="both"/>
              <w:rPr>
                <w:b/>
              </w:rPr>
            </w:pPr>
            <w:r w:rsidRPr="00553D53">
              <w:rPr>
                <w:b/>
              </w:rPr>
              <w:t>TOPLAM</w:t>
            </w:r>
          </w:p>
        </w:tc>
        <w:tc>
          <w:tcPr>
            <w:tcW w:w="2153" w:type="dxa"/>
            <w:noWrap/>
            <w:vAlign w:val="center"/>
            <w:hideMark/>
          </w:tcPr>
          <w:p w:rsidR="00553D53" w:rsidRPr="00553D53" w:rsidRDefault="00553D53" w:rsidP="00553D53">
            <w:pPr>
              <w:jc w:val="center"/>
              <w:rPr>
                <w:b/>
              </w:rPr>
            </w:pPr>
            <w:r w:rsidRPr="00553D53">
              <w:rPr>
                <w:b/>
              </w:rPr>
              <w:t>-0,3</w:t>
            </w:r>
          </w:p>
        </w:tc>
        <w:tc>
          <w:tcPr>
            <w:tcW w:w="2067" w:type="dxa"/>
            <w:noWrap/>
            <w:vAlign w:val="center"/>
            <w:hideMark/>
          </w:tcPr>
          <w:p w:rsidR="00553D53" w:rsidRPr="00553D53" w:rsidRDefault="00553D53" w:rsidP="00553D53">
            <w:pPr>
              <w:jc w:val="center"/>
              <w:rPr>
                <w:b/>
              </w:rPr>
            </w:pPr>
            <w:r w:rsidRPr="00553D53">
              <w:rPr>
                <w:b/>
              </w:rPr>
              <w:t>-6,5</w:t>
            </w:r>
          </w:p>
        </w:tc>
      </w:tr>
      <w:tr w:rsidR="00553D53" w:rsidRPr="00553D53" w:rsidTr="00744398">
        <w:trPr>
          <w:trHeight w:val="264"/>
        </w:trPr>
        <w:tc>
          <w:tcPr>
            <w:tcW w:w="4110" w:type="dxa"/>
            <w:shd w:val="clear" w:color="auto" w:fill="808080" w:themeFill="background1" w:themeFillShade="80"/>
            <w:noWrap/>
          </w:tcPr>
          <w:p w:rsidR="00553D53" w:rsidRPr="00553D53" w:rsidRDefault="00553D53" w:rsidP="00553D53">
            <w:pPr>
              <w:jc w:val="both"/>
              <w:rPr>
                <w:b/>
              </w:rPr>
            </w:pPr>
          </w:p>
        </w:tc>
        <w:tc>
          <w:tcPr>
            <w:tcW w:w="2153" w:type="dxa"/>
            <w:shd w:val="clear" w:color="auto" w:fill="808080" w:themeFill="background1" w:themeFillShade="80"/>
            <w:noWrap/>
            <w:vAlign w:val="center"/>
          </w:tcPr>
          <w:p w:rsidR="00553D53" w:rsidRPr="00553D53" w:rsidRDefault="00553D53" w:rsidP="00553D53">
            <w:pPr>
              <w:jc w:val="center"/>
              <w:rPr>
                <w:b/>
              </w:rPr>
            </w:pPr>
          </w:p>
        </w:tc>
        <w:tc>
          <w:tcPr>
            <w:tcW w:w="2067" w:type="dxa"/>
            <w:shd w:val="clear" w:color="auto" w:fill="808080" w:themeFill="background1" w:themeFillShade="80"/>
            <w:noWrap/>
            <w:vAlign w:val="center"/>
          </w:tcPr>
          <w:p w:rsidR="00553D53" w:rsidRPr="00553D53" w:rsidRDefault="00553D53" w:rsidP="00553D53">
            <w:pPr>
              <w:jc w:val="center"/>
              <w:rPr>
                <w:b/>
              </w:rPr>
            </w:pPr>
          </w:p>
        </w:tc>
      </w:tr>
      <w:tr w:rsidR="00553D53" w:rsidRPr="00553D53" w:rsidTr="00744398">
        <w:trPr>
          <w:trHeight w:val="264"/>
        </w:trPr>
        <w:tc>
          <w:tcPr>
            <w:tcW w:w="4110" w:type="dxa"/>
            <w:noWrap/>
          </w:tcPr>
          <w:p w:rsidR="00553D53" w:rsidRPr="00553D53" w:rsidRDefault="00553D53" w:rsidP="00553D53">
            <w:pPr>
              <w:jc w:val="both"/>
              <w:rPr>
                <w:b/>
              </w:rPr>
            </w:pPr>
            <w:r w:rsidRPr="00553D53">
              <w:rPr>
                <w:b/>
              </w:rPr>
              <w:t>Tablo 3. Sanayi Üretim Endeksi Teknoloji Sınıflarına Göre Büyüme Oranları, Kasım 2018</w:t>
            </w:r>
          </w:p>
        </w:tc>
        <w:tc>
          <w:tcPr>
            <w:tcW w:w="2153" w:type="dxa"/>
            <w:noWrap/>
          </w:tcPr>
          <w:p w:rsidR="00553D53" w:rsidRPr="00553D53" w:rsidRDefault="00553D53" w:rsidP="00553D53">
            <w:pPr>
              <w:jc w:val="both"/>
            </w:pPr>
            <w:r w:rsidRPr="00553D53">
              <w:t>Önceki Aya Göre (%)</w:t>
            </w:r>
          </w:p>
        </w:tc>
        <w:tc>
          <w:tcPr>
            <w:tcW w:w="2067" w:type="dxa"/>
            <w:noWrap/>
          </w:tcPr>
          <w:p w:rsidR="00553D53" w:rsidRPr="00553D53" w:rsidRDefault="00553D53" w:rsidP="00553D53">
            <w:pPr>
              <w:jc w:val="both"/>
            </w:pPr>
            <w:r w:rsidRPr="00553D53">
              <w:t>Önceki Yıla Göre (%)</w:t>
            </w:r>
          </w:p>
        </w:tc>
      </w:tr>
      <w:tr w:rsidR="00553D53" w:rsidRPr="00553D53" w:rsidTr="00744398">
        <w:trPr>
          <w:trHeight w:val="264"/>
        </w:trPr>
        <w:tc>
          <w:tcPr>
            <w:tcW w:w="4110" w:type="dxa"/>
            <w:noWrap/>
          </w:tcPr>
          <w:p w:rsidR="00553D53" w:rsidRPr="00553D53" w:rsidRDefault="00553D53" w:rsidP="00553D53">
            <w:pPr>
              <w:jc w:val="both"/>
            </w:pPr>
            <w:r w:rsidRPr="00553D53">
              <w:t>Düşük Teknoloji</w:t>
            </w:r>
          </w:p>
        </w:tc>
        <w:tc>
          <w:tcPr>
            <w:tcW w:w="2153" w:type="dxa"/>
            <w:noWrap/>
            <w:vAlign w:val="center"/>
          </w:tcPr>
          <w:p w:rsidR="00553D53" w:rsidRPr="00553D53" w:rsidRDefault="00553D53" w:rsidP="00553D53">
            <w:pPr>
              <w:jc w:val="center"/>
            </w:pPr>
            <w:r w:rsidRPr="00553D53">
              <w:t>0,9</w:t>
            </w:r>
          </w:p>
        </w:tc>
        <w:tc>
          <w:tcPr>
            <w:tcW w:w="2067" w:type="dxa"/>
            <w:noWrap/>
            <w:vAlign w:val="center"/>
          </w:tcPr>
          <w:p w:rsidR="00553D53" w:rsidRPr="00553D53" w:rsidRDefault="00553D53" w:rsidP="00553D53">
            <w:pPr>
              <w:jc w:val="center"/>
            </w:pPr>
            <w:r w:rsidRPr="00553D53">
              <w:t>-3,5</w:t>
            </w:r>
          </w:p>
        </w:tc>
      </w:tr>
      <w:tr w:rsidR="00553D53" w:rsidRPr="00553D53" w:rsidTr="00744398">
        <w:trPr>
          <w:trHeight w:val="264"/>
        </w:trPr>
        <w:tc>
          <w:tcPr>
            <w:tcW w:w="4110" w:type="dxa"/>
            <w:noWrap/>
          </w:tcPr>
          <w:p w:rsidR="00553D53" w:rsidRPr="00553D53" w:rsidRDefault="00553D53" w:rsidP="00553D53">
            <w:pPr>
              <w:jc w:val="both"/>
            </w:pPr>
            <w:r w:rsidRPr="00553D53">
              <w:t>Orta Düşük Teknoloji</w:t>
            </w:r>
          </w:p>
        </w:tc>
        <w:tc>
          <w:tcPr>
            <w:tcW w:w="2153" w:type="dxa"/>
            <w:noWrap/>
            <w:vAlign w:val="center"/>
          </w:tcPr>
          <w:p w:rsidR="00553D53" w:rsidRPr="00553D53" w:rsidRDefault="00553D53" w:rsidP="00553D53">
            <w:pPr>
              <w:jc w:val="center"/>
            </w:pPr>
            <w:r w:rsidRPr="00553D53">
              <w:t>-2,4</w:t>
            </w:r>
          </w:p>
        </w:tc>
        <w:tc>
          <w:tcPr>
            <w:tcW w:w="2067" w:type="dxa"/>
            <w:noWrap/>
            <w:vAlign w:val="center"/>
          </w:tcPr>
          <w:p w:rsidR="00553D53" w:rsidRPr="00553D53" w:rsidRDefault="00553D53" w:rsidP="00553D53">
            <w:pPr>
              <w:jc w:val="center"/>
            </w:pPr>
            <w:r w:rsidRPr="00553D53">
              <w:t>-14,2</w:t>
            </w:r>
          </w:p>
        </w:tc>
      </w:tr>
      <w:tr w:rsidR="00553D53" w:rsidRPr="00553D53" w:rsidTr="00744398">
        <w:trPr>
          <w:trHeight w:val="264"/>
        </w:trPr>
        <w:tc>
          <w:tcPr>
            <w:tcW w:w="4110" w:type="dxa"/>
            <w:noWrap/>
          </w:tcPr>
          <w:p w:rsidR="00553D53" w:rsidRPr="00553D53" w:rsidRDefault="00553D53" w:rsidP="00553D53">
            <w:pPr>
              <w:jc w:val="both"/>
            </w:pPr>
            <w:r w:rsidRPr="00553D53">
              <w:t>Orta Yüksek Teknoloji</w:t>
            </w:r>
          </w:p>
        </w:tc>
        <w:tc>
          <w:tcPr>
            <w:tcW w:w="2153" w:type="dxa"/>
            <w:noWrap/>
            <w:vAlign w:val="center"/>
          </w:tcPr>
          <w:p w:rsidR="00553D53" w:rsidRPr="00553D53" w:rsidRDefault="00553D53" w:rsidP="00553D53">
            <w:pPr>
              <w:jc w:val="center"/>
            </w:pPr>
            <w:r w:rsidRPr="00553D53">
              <w:t>2,1</w:t>
            </w:r>
          </w:p>
        </w:tc>
        <w:tc>
          <w:tcPr>
            <w:tcW w:w="2067" w:type="dxa"/>
            <w:noWrap/>
            <w:vAlign w:val="center"/>
          </w:tcPr>
          <w:p w:rsidR="00553D53" w:rsidRPr="00553D53" w:rsidRDefault="00553D53" w:rsidP="00553D53">
            <w:r w:rsidRPr="00553D53">
              <w:t xml:space="preserve">                -7,6</w:t>
            </w:r>
          </w:p>
        </w:tc>
      </w:tr>
      <w:tr w:rsidR="00553D53" w:rsidRPr="00553D53" w:rsidTr="00744398">
        <w:trPr>
          <w:trHeight w:val="264"/>
        </w:trPr>
        <w:tc>
          <w:tcPr>
            <w:tcW w:w="4110" w:type="dxa"/>
            <w:noWrap/>
          </w:tcPr>
          <w:p w:rsidR="00553D53" w:rsidRPr="00553D53" w:rsidRDefault="00553D53" w:rsidP="00553D53">
            <w:pPr>
              <w:jc w:val="both"/>
            </w:pPr>
            <w:r w:rsidRPr="00553D53">
              <w:t>Yüksek Teknoloji</w:t>
            </w:r>
          </w:p>
        </w:tc>
        <w:tc>
          <w:tcPr>
            <w:tcW w:w="2153" w:type="dxa"/>
            <w:noWrap/>
            <w:vAlign w:val="center"/>
          </w:tcPr>
          <w:p w:rsidR="00553D53" w:rsidRPr="00553D53" w:rsidRDefault="00553D53" w:rsidP="00553D53">
            <w:pPr>
              <w:jc w:val="center"/>
            </w:pPr>
            <w:r w:rsidRPr="00553D53">
              <w:t>-3,5</w:t>
            </w:r>
          </w:p>
        </w:tc>
        <w:tc>
          <w:tcPr>
            <w:tcW w:w="2067" w:type="dxa"/>
            <w:noWrap/>
            <w:vAlign w:val="center"/>
          </w:tcPr>
          <w:p w:rsidR="00553D53" w:rsidRPr="00553D53" w:rsidRDefault="00553D53" w:rsidP="00553D53">
            <w:pPr>
              <w:jc w:val="center"/>
            </w:pPr>
            <w:r w:rsidRPr="00553D53">
              <w:t>5,9</w:t>
            </w:r>
          </w:p>
        </w:tc>
      </w:tr>
      <w:tr w:rsidR="00553D53" w:rsidRPr="00553D53" w:rsidTr="00744398">
        <w:trPr>
          <w:trHeight w:val="264"/>
        </w:trPr>
        <w:tc>
          <w:tcPr>
            <w:tcW w:w="4110" w:type="dxa"/>
            <w:noWrap/>
          </w:tcPr>
          <w:p w:rsidR="00553D53" w:rsidRPr="00553D53" w:rsidRDefault="00553D53" w:rsidP="00553D53">
            <w:pPr>
              <w:jc w:val="both"/>
              <w:rPr>
                <w:b/>
              </w:rPr>
            </w:pPr>
            <w:r w:rsidRPr="00553D53">
              <w:rPr>
                <w:b/>
              </w:rPr>
              <w:t>TOPLAM</w:t>
            </w:r>
          </w:p>
        </w:tc>
        <w:tc>
          <w:tcPr>
            <w:tcW w:w="2153" w:type="dxa"/>
            <w:noWrap/>
            <w:vAlign w:val="center"/>
          </w:tcPr>
          <w:p w:rsidR="00553D53" w:rsidRPr="00553D53" w:rsidRDefault="00553D53" w:rsidP="00553D53">
            <w:pPr>
              <w:jc w:val="center"/>
              <w:rPr>
                <w:b/>
              </w:rPr>
            </w:pPr>
            <w:r w:rsidRPr="00553D53">
              <w:rPr>
                <w:b/>
              </w:rPr>
              <w:t>-0,3</w:t>
            </w:r>
          </w:p>
        </w:tc>
        <w:tc>
          <w:tcPr>
            <w:tcW w:w="2067" w:type="dxa"/>
            <w:noWrap/>
            <w:vAlign w:val="center"/>
          </w:tcPr>
          <w:p w:rsidR="00553D53" w:rsidRPr="00553D53" w:rsidRDefault="00553D53" w:rsidP="00553D53">
            <w:pPr>
              <w:jc w:val="center"/>
              <w:rPr>
                <w:b/>
              </w:rPr>
            </w:pPr>
            <w:r w:rsidRPr="00553D53">
              <w:rPr>
                <w:b/>
              </w:rPr>
              <w:t>-6,5</w:t>
            </w:r>
          </w:p>
        </w:tc>
      </w:tr>
    </w:tbl>
    <w:p w:rsidR="00553D53" w:rsidRPr="00553D53" w:rsidRDefault="00553D53" w:rsidP="00553D53">
      <w:pPr>
        <w:jc w:val="both"/>
        <w:rPr>
          <w:rFonts w:eastAsiaTheme="minorEastAsia"/>
          <w:lang w:eastAsia="tr-TR"/>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63"/>
        <w:gridCol w:w="4236"/>
      </w:tblGrid>
      <w:tr w:rsidR="00553D53" w:rsidRPr="00553D53" w:rsidTr="00744398">
        <w:trPr>
          <w:trHeight w:val="915"/>
        </w:trPr>
        <w:tc>
          <w:tcPr>
            <w:tcW w:w="5644" w:type="dxa"/>
            <w:vAlign w:val="center"/>
          </w:tcPr>
          <w:p w:rsidR="00553D53" w:rsidRPr="00553D53" w:rsidRDefault="00553D53" w:rsidP="00553D53">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553D53">
              <w:rPr>
                <w:rFonts w:asciiTheme="majorHAnsi" w:eastAsiaTheme="majorEastAsia" w:hAnsiTheme="majorHAnsi" w:cstheme="majorBidi"/>
                <w:sz w:val="36"/>
                <w:szCs w:val="36"/>
                <w:lang w:eastAsia="tr-TR"/>
              </w:rPr>
              <w:t xml:space="preserve">2018 Kasım </w:t>
            </w:r>
          </w:p>
          <w:p w:rsidR="00553D53" w:rsidRPr="00553D53" w:rsidRDefault="00553D53" w:rsidP="00553D53">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553D53">
              <w:rPr>
                <w:rFonts w:asciiTheme="majorHAnsi" w:eastAsiaTheme="majorEastAsia" w:hAnsiTheme="majorHAnsi" w:cstheme="majorBidi"/>
                <w:sz w:val="36"/>
                <w:szCs w:val="36"/>
                <w:lang w:eastAsia="tr-TR"/>
              </w:rPr>
              <w:t>SANAYİ ÜRETİM ENDEKSİ</w:t>
            </w:r>
          </w:p>
        </w:tc>
        <w:tc>
          <w:tcPr>
            <w:tcW w:w="4678" w:type="dxa"/>
          </w:tcPr>
          <w:p w:rsidR="00553D53" w:rsidRPr="00553D53" w:rsidRDefault="00553D53" w:rsidP="00553D53">
            <w:pPr>
              <w:tabs>
                <w:tab w:val="center" w:pos="4536"/>
                <w:tab w:val="right" w:pos="9072"/>
              </w:tabs>
              <w:spacing w:after="0"/>
              <w:jc w:val="center"/>
              <w:rPr>
                <w:rFonts w:asciiTheme="majorHAnsi" w:eastAsiaTheme="majorEastAsia" w:hAnsiTheme="majorHAnsi" w:cstheme="majorBidi"/>
                <w:b/>
                <w:bCs/>
                <w:color w:val="4F81BD" w:themeColor="accent1"/>
                <w:sz w:val="36"/>
                <w:szCs w:val="36"/>
                <w:lang w:eastAsia="tr-TR"/>
              </w:rPr>
            </w:pPr>
            <w:r w:rsidRPr="00553D53">
              <w:rPr>
                <w:rFonts w:asciiTheme="majorHAnsi" w:eastAsiaTheme="majorEastAsia" w:hAnsiTheme="majorHAnsi" w:cstheme="majorBidi"/>
                <w:bCs/>
                <w:sz w:val="28"/>
                <w:szCs w:val="36"/>
                <w:lang w:eastAsia="tr-TR"/>
              </w:rPr>
              <w:t xml:space="preserve">14 Ocak 2019  </w:t>
            </w:r>
            <w:r w:rsidRPr="00553D53">
              <w:rPr>
                <w:rFonts w:asciiTheme="majorHAnsi" w:eastAsiaTheme="majorEastAsia" w:hAnsiTheme="majorHAnsi" w:cstheme="majorBidi"/>
                <w:b/>
                <w:bCs/>
                <w:noProof/>
                <w:color w:val="4F81BD" w:themeColor="accent1"/>
                <w:sz w:val="36"/>
                <w:szCs w:val="36"/>
                <w:lang w:eastAsia="tr-TR"/>
              </w:rPr>
              <w:drawing>
                <wp:inline distT="0" distB="0" distL="0" distR="0" wp14:anchorId="403359B7" wp14:editId="0D05A849">
                  <wp:extent cx="892754" cy="533400"/>
                  <wp:effectExtent l="0" t="0" r="0" b="0"/>
                  <wp:docPr id="27" name="Resim 27"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Pr="00553D53">
              <w:rPr>
                <w:rFonts w:asciiTheme="majorHAnsi" w:eastAsiaTheme="majorEastAsia" w:hAnsiTheme="majorHAnsi" w:cstheme="majorBidi"/>
                <w:bCs/>
                <w:sz w:val="28"/>
                <w:szCs w:val="36"/>
                <w:lang w:eastAsia="tr-TR"/>
              </w:rPr>
              <w:t xml:space="preserve">              </w:t>
            </w:r>
          </w:p>
        </w:tc>
      </w:tr>
    </w:tbl>
    <w:p w:rsidR="00553D53" w:rsidRPr="00553D53" w:rsidRDefault="00553D53" w:rsidP="00553D53">
      <w:pPr>
        <w:tabs>
          <w:tab w:val="center" w:pos="4536"/>
          <w:tab w:val="right" w:pos="9072"/>
        </w:tabs>
        <w:spacing w:after="0" w:line="240" w:lineRule="auto"/>
        <w:rPr>
          <w:rFonts w:eastAsiaTheme="minorEastAsia"/>
          <w:lang w:eastAsia="tr-TR"/>
        </w:rPr>
      </w:pPr>
    </w:p>
    <w:p w:rsidR="00553D53" w:rsidRPr="00553D53" w:rsidRDefault="00553D53" w:rsidP="00553D53">
      <w:pPr>
        <w:rPr>
          <w:rFonts w:eastAsiaTheme="minorEastAsia"/>
          <w:b/>
          <w:lang w:eastAsia="tr-TR"/>
        </w:rPr>
      </w:pPr>
      <w:r w:rsidRPr="00553D53">
        <w:rPr>
          <w:rFonts w:eastAsiaTheme="minorEastAsia"/>
          <w:b/>
          <w:lang w:eastAsia="tr-TR"/>
        </w:rPr>
        <w:t>Kasım 2018 Sanayi Üretim Endeksi’ne ilişkin veriler Türkiye İstatistik Kurumu (TÜİK) tarafından 14 Ocak 2019 tarihinde yayımlandı.</w:t>
      </w:r>
    </w:p>
    <w:p w:rsidR="00553D53" w:rsidRPr="00553D53" w:rsidRDefault="00553D53" w:rsidP="00553D53">
      <w:pPr>
        <w:rPr>
          <w:rFonts w:eastAsiaTheme="minorEastAsia"/>
          <w:lang w:eastAsia="tr-TR"/>
        </w:rPr>
      </w:pPr>
      <w:r w:rsidRPr="00553D53">
        <w:rPr>
          <w:rFonts w:eastAsiaTheme="minorEastAsia"/>
          <w:lang w:eastAsia="tr-TR"/>
        </w:rPr>
        <w:t>TÜİK tarafından aylık yayımlanan Sanayi Üretim Endeksi, Türkiye’deki sanayi kuruluşlarının toplam üretiminin zaman içindeki değişimi hakkında bilgi vermektedir.</w:t>
      </w:r>
      <w:r w:rsidRPr="00553D53">
        <w:rPr>
          <w:rFonts w:eastAsiaTheme="minorEastAsia"/>
          <w:vertAlign w:val="superscript"/>
          <w:lang w:eastAsia="tr-TR"/>
        </w:rPr>
        <w:footnoteReference w:id="5"/>
      </w:r>
    </w:p>
    <w:p w:rsidR="00553D53" w:rsidRPr="00553D53" w:rsidRDefault="00553D53" w:rsidP="00553D53">
      <w:pPr>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 xml:space="preserve">Şekil 1: Aylara göre sanayi üretim endeksi </w:t>
      </w:r>
    </w:p>
    <w:p w:rsidR="00553D53" w:rsidRPr="00553D53" w:rsidRDefault="00553D53" w:rsidP="00553D53">
      <w:pPr>
        <w:ind w:firstLine="720"/>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(mevsim ve takvim etkilerinden arındırılmış, 2015=100)</w:t>
      </w:r>
    </w:p>
    <w:p w:rsidR="00553D53" w:rsidRPr="00553D53" w:rsidRDefault="00553D53" w:rsidP="00553D53">
      <w:pPr>
        <w:jc w:val="both"/>
        <w:outlineLvl w:val="1"/>
        <w:rPr>
          <w:rFonts w:eastAsia="Times New Roman" w:cs="Times New Roman"/>
          <w:b/>
          <w:bCs/>
          <w:kern w:val="36"/>
          <w:sz w:val="28"/>
          <w:szCs w:val="24"/>
          <w:lang w:eastAsia="tr-TR"/>
        </w:rPr>
      </w:pPr>
      <w:r w:rsidRPr="00553D53">
        <w:rPr>
          <w:rFonts w:eastAsiaTheme="minorEastAsia"/>
          <w:noProof/>
          <w:lang w:eastAsia="tr-TR"/>
        </w:rPr>
        <w:lastRenderedPageBreak/>
        <w:drawing>
          <wp:inline distT="0" distB="0" distL="0" distR="0" wp14:anchorId="2D15B417" wp14:editId="34AA9958">
            <wp:extent cx="5972810" cy="2225040"/>
            <wp:effectExtent l="0" t="0" r="27940" b="22860"/>
            <wp:docPr id="28"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53D53" w:rsidRPr="00553D53" w:rsidRDefault="00553D53" w:rsidP="00553D53">
      <w:pPr>
        <w:jc w:val="both"/>
        <w:rPr>
          <w:rFonts w:eastAsiaTheme="minorEastAsia"/>
          <w:lang w:eastAsia="tr-TR"/>
        </w:rPr>
      </w:pPr>
      <w:r w:rsidRPr="00553D53">
        <w:rPr>
          <w:rFonts w:eastAsiaTheme="minorEastAsia"/>
          <w:lang w:eastAsia="tr-TR"/>
        </w:rPr>
        <w:t xml:space="preserve">Kasım ayında Türkiye (TR) Geneli Sanayi Üretim Endeksi </w:t>
      </w:r>
      <w:r w:rsidRPr="00553D53">
        <w:rPr>
          <w:rFonts w:eastAsiaTheme="minorEastAsia"/>
          <w:b/>
          <w:u w:val="single"/>
          <w:lang w:eastAsia="tr-TR"/>
        </w:rPr>
        <w:t>bir önceki aya (Ekim 2018) göre</w:t>
      </w:r>
      <w:r w:rsidRPr="00553D53">
        <w:rPr>
          <w:rFonts w:eastAsiaTheme="minorEastAsia"/>
          <w:lang w:eastAsia="tr-TR"/>
        </w:rPr>
        <w:t xml:space="preserve"> yüzde 0,3 azalış göstermiştir. Kasım (2018) ayındaki azalışta bir önceki aya göre madencilik ve </w:t>
      </w:r>
      <w:proofErr w:type="spellStart"/>
      <w:r w:rsidRPr="00553D53">
        <w:rPr>
          <w:rFonts w:eastAsiaTheme="minorEastAsia"/>
          <w:lang w:eastAsia="tr-TR"/>
        </w:rPr>
        <w:t>taşocakçılığı</w:t>
      </w:r>
      <w:proofErr w:type="spellEnd"/>
      <w:r w:rsidRPr="00553D53">
        <w:rPr>
          <w:rFonts w:eastAsiaTheme="minorEastAsia"/>
          <w:lang w:eastAsia="tr-TR"/>
        </w:rPr>
        <w:t xml:space="preserve"> sektöründeki 3,7’lik ve imalat sanayi sektöründeki yüzde 0,1’lik azalışın etkili olduğu görülmektedir. Elektrik, gaz, buhar ve iklimlendirme üretimi ve dağıtımı sektöründe ise değişim yaşanmamıştır.</w:t>
      </w:r>
    </w:p>
    <w:p w:rsidR="00553D53" w:rsidRPr="00553D53" w:rsidRDefault="00553D53" w:rsidP="00553D53">
      <w:pPr>
        <w:jc w:val="both"/>
        <w:rPr>
          <w:rFonts w:eastAsiaTheme="minorEastAsia"/>
          <w:lang w:eastAsia="tr-TR"/>
        </w:rPr>
      </w:pPr>
      <w:r w:rsidRPr="00553D53">
        <w:rPr>
          <w:rFonts w:eastAsiaTheme="minorEastAsia"/>
          <w:lang w:eastAsia="tr-TR"/>
        </w:rPr>
        <w:t>Ana sanayi gruplarına bakıldığında toplam sanayi endeksindeki azalışta ara malı, sermaye malı ve enerji sektöründe yaşanan azalışın etkisi olduğu görülmektedir (sırasıyla yüzde 1,6’lık, 0,5’lik ve 0,3’lük azalışlar).</w:t>
      </w:r>
    </w:p>
    <w:p w:rsidR="00553D53" w:rsidRPr="00553D53" w:rsidRDefault="00553D53" w:rsidP="00553D53">
      <w:pPr>
        <w:jc w:val="both"/>
        <w:rPr>
          <w:rFonts w:eastAsiaTheme="minorEastAsia"/>
          <w:lang w:eastAsia="tr-TR"/>
        </w:rPr>
      </w:pPr>
      <w:r w:rsidRPr="00553D53">
        <w:rPr>
          <w:rFonts w:eastAsiaTheme="minorEastAsia"/>
          <w:lang w:eastAsia="tr-TR"/>
        </w:rPr>
        <w:t xml:space="preserve">Teknoloji sınıflarına bakıldığında bir önceki aya göre orta yüksek teknolojili üretimde yüzde 2,1’lik ve düşük teknolojili üretimde yüzde 0,9’luk artış olduğu görülmektedir. Yüksek teknolojili üretimde yüzde 3,5’lik ve orta düşük teknolojili üretimde 2,4’lük azalış yaşanmıştır.  </w:t>
      </w:r>
    </w:p>
    <w:p w:rsidR="00553D53" w:rsidRPr="00553D53" w:rsidRDefault="00553D53" w:rsidP="00553D53">
      <w:pPr>
        <w:jc w:val="both"/>
        <w:outlineLvl w:val="1"/>
        <w:rPr>
          <w:rFonts w:eastAsia="Times New Roman" w:cs="Times New Roman"/>
          <w:b/>
          <w:bCs/>
          <w:kern w:val="36"/>
          <w:sz w:val="24"/>
          <w:szCs w:val="24"/>
          <w:lang w:eastAsia="tr-TR"/>
        </w:rPr>
      </w:pPr>
    </w:p>
    <w:p w:rsidR="00553D53" w:rsidRPr="00553D53" w:rsidRDefault="00553D53" w:rsidP="00553D53">
      <w:pPr>
        <w:jc w:val="both"/>
        <w:outlineLvl w:val="1"/>
        <w:rPr>
          <w:rFonts w:eastAsia="Times New Roman" w:cs="Times New Roman"/>
          <w:b/>
          <w:bCs/>
          <w:kern w:val="36"/>
          <w:sz w:val="24"/>
          <w:szCs w:val="24"/>
          <w:lang w:eastAsia="tr-TR"/>
        </w:rPr>
      </w:pPr>
    </w:p>
    <w:p w:rsidR="00553D53" w:rsidRPr="00553D53" w:rsidRDefault="00553D53" w:rsidP="00553D53">
      <w:pPr>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 xml:space="preserve">Şekil 2: Yıllara göre Kasım ayları itibariyle sanayi üretim endeksi </w:t>
      </w:r>
    </w:p>
    <w:p w:rsidR="00553D53" w:rsidRPr="00553D53" w:rsidRDefault="00553D53" w:rsidP="00553D53">
      <w:pPr>
        <w:ind w:firstLine="720"/>
        <w:jc w:val="both"/>
        <w:outlineLvl w:val="1"/>
        <w:rPr>
          <w:rFonts w:eastAsia="Times New Roman" w:cs="Times New Roman"/>
          <w:b/>
          <w:bCs/>
          <w:kern w:val="36"/>
          <w:sz w:val="24"/>
          <w:szCs w:val="24"/>
          <w:lang w:eastAsia="tr-TR"/>
        </w:rPr>
      </w:pPr>
      <w:r w:rsidRPr="00553D53">
        <w:rPr>
          <w:rFonts w:eastAsia="Times New Roman" w:cs="Times New Roman"/>
          <w:b/>
          <w:bCs/>
          <w:kern w:val="36"/>
          <w:sz w:val="24"/>
          <w:szCs w:val="24"/>
          <w:lang w:eastAsia="tr-TR"/>
        </w:rPr>
        <w:t>(takvim etkisinden arındırılmış, 2015=100)</w:t>
      </w:r>
    </w:p>
    <w:p w:rsidR="00553D53" w:rsidRPr="00553D53" w:rsidRDefault="00553D53" w:rsidP="00553D53">
      <w:pPr>
        <w:jc w:val="both"/>
        <w:outlineLvl w:val="1"/>
        <w:rPr>
          <w:rFonts w:eastAsia="Times New Roman" w:cs="Times New Roman"/>
          <w:b/>
          <w:bCs/>
          <w:kern w:val="36"/>
          <w:sz w:val="24"/>
          <w:szCs w:val="24"/>
          <w:lang w:eastAsia="tr-TR"/>
        </w:rPr>
      </w:pPr>
      <w:r w:rsidRPr="00553D53">
        <w:rPr>
          <w:rFonts w:eastAsiaTheme="minorEastAsia"/>
          <w:noProof/>
          <w:lang w:eastAsia="tr-TR"/>
        </w:rPr>
        <w:lastRenderedPageBreak/>
        <w:drawing>
          <wp:inline distT="0" distB="0" distL="0" distR="0" wp14:anchorId="0FC98749" wp14:editId="4157A57B">
            <wp:extent cx="5972810" cy="2683510"/>
            <wp:effectExtent l="0" t="0" r="27940" b="21590"/>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53D53" w:rsidRPr="00553D53" w:rsidRDefault="00553D53" w:rsidP="00553D53">
      <w:pPr>
        <w:jc w:val="both"/>
        <w:rPr>
          <w:rFonts w:eastAsiaTheme="minorEastAsia"/>
          <w:lang w:eastAsia="tr-TR"/>
        </w:rPr>
      </w:pPr>
      <w:r w:rsidRPr="00553D53">
        <w:rPr>
          <w:rFonts w:eastAsiaTheme="minorEastAsia"/>
          <w:lang w:eastAsia="tr-TR"/>
        </w:rPr>
        <w:t xml:space="preserve">Endeks </w:t>
      </w:r>
      <w:r w:rsidRPr="00553D53">
        <w:rPr>
          <w:rFonts w:eastAsiaTheme="minorEastAsia"/>
          <w:b/>
          <w:u w:val="single"/>
          <w:lang w:eastAsia="tr-TR"/>
        </w:rPr>
        <w:t>bir önceki yılın aynı ayına göre</w:t>
      </w:r>
      <w:r w:rsidRPr="00553D53">
        <w:rPr>
          <w:rFonts w:eastAsiaTheme="minorEastAsia"/>
          <w:lang w:eastAsia="tr-TR"/>
        </w:rPr>
        <w:t xml:space="preserve"> yüzde 6,5 oranında azalış göstermiştir. Kasım (2018) ayında önceki yıla göre ana sanayi sektörleri itibariyle en yüksek azalış yüzde 7,1 ile imalat sanayi sektöründe gerçekleşmiştir. Bu sektörü, yüzde 1,8 azalışla elektrik, gaz, buhar ve iklimlendirme üretimi ve dağıtımı ve yüzde 1,1 azalışla madencilik ve </w:t>
      </w:r>
      <w:proofErr w:type="spellStart"/>
      <w:r w:rsidRPr="00553D53">
        <w:rPr>
          <w:rFonts w:eastAsiaTheme="minorEastAsia"/>
          <w:lang w:eastAsia="tr-TR"/>
        </w:rPr>
        <w:t>taşocakçılığı</w:t>
      </w:r>
      <w:proofErr w:type="spellEnd"/>
      <w:r w:rsidRPr="00553D53">
        <w:rPr>
          <w:rFonts w:eastAsiaTheme="minorEastAsia"/>
          <w:lang w:eastAsia="tr-TR"/>
        </w:rPr>
        <w:t xml:space="preserve"> sektörleri takip etmiştir.  </w:t>
      </w:r>
    </w:p>
    <w:p w:rsidR="00553D53" w:rsidRPr="00553D53" w:rsidRDefault="00553D53" w:rsidP="00553D53">
      <w:pPr>
        <w:jc w:val="both"/>
        <w:rPr>
          <w:rFonts w:eastAsiaTheme="minorEastAsia"/>
          <w:lang w:eastAsia="tr-TR"/>
        </w:rPr>
      </w:pPr>
      <w:r w:rsidRPr="00553D53">
        <w:rPr>
          <w:rFonts w:eastAsiaTheme="minorEastAsia"/>
          <w:lang w:eastAsia="tr-TR"/>
        </w:rPr>
        <w:t xml:space="preserve">Ana sanayi gruplarına bakıldığında, ara malı imalatında yüzde 11,9’luk, sermaye malı imalatında yüzde 8,3’lük ve dayanıksız tüketim malı imalatında yüzde 2,8’lik azalış yaşanmıştır. </w:t>
      </w:r>
    </w:p>
    <w:p w:rsidR="00553D53" w:rsidRPr="00553D53" w:rsidRDefault="00553D53" w:rsidP="00553D53">
      <w:pPr>
        <w:jc w:val="both"/>
        <w:rPr>
          <w:rFonts w:eastAsiaTheme="minorEastAsia"/>
          <w:lang w:eastAsia="tr-TR"/>
        </w:rPr>
      </w:pPr>
      <w:r w:rsidRPr="00553D53">
        <w:rPr>
          <w:rFonts w:eastAsiaTheme="minorEastAsia"/>
          <w:lang w:eastAsia="tr-TR"/>
        </w:rPr>
        <w:t>Bir önceki yılın aynı ayına göre değişime teknoloji sınıflarına göre bakıldığında en yüksek azalışın yüzde 14,2’lik azalışla orta düşük teknolojili üretimde olduğu görülmektedir. Orta düşük teknolojili üretimi yüzde 7,6’lık azalış ile orta yüksek teknolojili üretim ve yüzde 3,5’lik azalış ile düşük teknolojili üretim takip etmiştir. Yüksek teknolojili üretim yüzde 5,9’luk artış göstermiştir.</w:t>
      </w:r>
    </w:p>
    <w:p w:rsidR="00553D53" w:rsidRPr="00553D53" w:rsidRDefault="00553D53" w:rsidP="00553D53">
      <w:pPr>
        <w:jc w:val="both"/>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p w:rsidR="00553D53" w:rsidRPr="00553D53" w:rsidRDefault="00553D53" w:rsidP="00553D53">
      <w:pPr>
        <w:jc w:val="both"/>
        <w:outlineLvl w:val="1"/>
        <w:rPr>
          <w:rFonts w:eastAsia="Times New Roman" w:cs="Times New Roman"/>
          <w:b/>
          <w:bCs/>
          <w:kern w:val="36"/>
          <w:sz w:val="28"/>
          <w:szCs w:val="24"/>
          <w:highlight w:val="yellow"/>
          <w:lang w:eastAsia="tr-TR"/>
        </w:rPr>
      </w:pPr>
    </w:p>
    <w:tbl>
      <w:tblPr>
        <w:tblStyle w:val="TabloKlavuzu"/>
        <w:tblW w:w="0" w:type="auto"/>
        <w:tblLook w:val="04A0" w:firstRow="1" w:lastRow="0" w:firstColumn="1" w:lastColumn="0" w:noHBand="0" w:noVBand="1"/>
      </w:tblPr>
      <w:tblGrid>
        <w:gridCol w:w="4110"/>
        <w:gridCol w:w="2153"/>
        <w:gridCol w:w="2067"/>
      </w:tblGrid>
      <w:tr w:rsidR="00553D53" w:rsidRPr="00553D53" w:rsidTr="00744398">
        <w:trPr>
          <w:trHeight w:val="264"/>
        </w:trPr>
        <w:tc>
          <w:tcPr>
            <w:tcW w:w="4110" w:type="dxa"/>
            <w:noWrap/>
            <w:hideMark/>
          </w:tcPr>
          <w:p w:rsidR="00553D53" w:rsidRPr="00553D53" w:rsidRDefault="00553D53" w:rsidP="00553D53">
            <w:pPr>
              <w:jc w:val="both"/>
            </w:pPr>
            <w:r w:rsidRPr="00553D53">
              <w:rPr>
                <w:b/>
              </w:rPr>
              <w:t>Tablo 1: Sanayi Üretim Endeksi Büyüme Oranları,  Kasım 2018</w:t>
            </w:r>
          </w:p>
        </w:tc>
        <w:tc>
          <w:tcPr>
            <w:tcW w:w="2153" w:type="dxa"/>
            <w:noWrap/>
            <w:hideMark/>
          </w:tcPr>
          <w:p w:rsidR="00553D53" w:rsidRPr="00553D53" w:rsidRDefault="00553D53" w:rsidP="00553D53">
            <w:pPr>
              <w:jc w:val="both"/>
            </w:pPr>
            <w:r w:rsidRPr="00553D53">
              <w:t>Önceki Aya Göre (%)</w:t>
            </w:r>
          </w:p>
        </w:tc>
        <w:tc>
          <w:tcPr>
            <w:tcW w:w="2067" w:type="dxa"/>
            <w:noWrap/>
            <w:hideMark/>
          </w:tcPr>
          <w:p w:rsidR="00553D53" w:rsidRPr="00553D53" w:rsidRDefault="00553D53" w:rsidP="00553D53">
            <w:pPr>
              <w:jc w:val="both"/>
            </w:pPr>
            <w:r w:rsidRPr="00553D53">
              <w:t>Önceki Yıla Göre (%)</w:t>
            </w:r>
          </w:p>
        </w:tc>
      </w:tr>
      <w:tr w:rsidR="00553D53" w:rsidRPr="00553D53" w:rsidTr="00744398">
        <w:trPr>
          <w:trHeight w:val="264"/>
        </w:trPr>
        <w:tc>
          <w:tcPr>
            <w:tcW w:w="4110" w:type="dxa"/>
            <w:noWrap/>
            <w:hideMark/>
          </w:tcPr>
          <w:p w:rsidR="00553D53" w:rsidRPr="00553D53" w:rsidRDefault="00553D53" w:rsidP="00553D53">
            <w:pPr>
              <w:jc w:val="both"/>
            </w:pPr>
            <w:r w:rsidRPr="00553D53">
              <w:t>Ara Malı</w:t>
            </w:r>
          </w:p>
        </w:tc>
        <w:tc>
          <w:tcPr>
            <w:tcW w:w="2153" w:type="dxa"/>
            <w:noWrap/>
            <w:vAlign w:val="center"/>
            <w:hideMark/>
          </w:tcPr>
          <w:p w:rsidR="00553D53" w:rsidRPr="00553D53" w:rsidRDefault="00553D53" w:rsidP="00553D53">
            <w:pPr>
              <w:jc w:val="center"/>
            </w:pPr>
            <w:r w:rsidRPr="00553D53">
              <w:t>-1,6</w:t>
            </w:r>
          </w:p>
        </w:tc>
        <w:tc>
          <w:tcPr>
            <w:tcW w:w="2067" w:type="dxa"/>
            <w:noWrap/>
            <w:vAlign w:val="center"/>
            <w:hideMark/>
          </w:tcPr>
          <w:p w:rsidR="00553D53" w:rsidRPr="00553D53" w:rsidRDefault="00553D53" w:rsidP="00553D53">
            <w:pPr>
              <w:jc w:val="center"/>
            </w:pPr>
            <w:r w:rsidRPr="00553D53">
              <w:t>-11,9</w:t>
            </w:r>
          </w:p>
        </w:tc>
      </w:tr>
      <w:tr w:rsidR="00553D53" w:rsidRPr="00553D53" w:rsidTr="00744398">
        <w:trPr>
          <w:trHeight w:val="264"/>
        </w:trPr>
        <w:tc>
          <w:tcPr>
            <w:tcW w:w="4110" w:type="dxa"/>
            <w:noWrap/>
            <w:hideMark/>
          </w:tcPr>
          <w:p w:rsidR="00553D53" w:rsidRPr="00553D53" w:rsidRDefault="00553D53" w:rsidP="00553D53">
            <w:pPr>
              <w:jc w:val="both"/>
            </w:pPr>
            <w:r w:rsidRPr="00553D53">
              <w:t>Dayanıklı Tüketim Malı</w:t>
            </w:r>
          </w:p>
        </w:tc>
        <w:tc>
          <w:tcPr>
            <w:tcW w:w="2153" w:type="dxa"/>
            <w:noWrap/>
            <w:vAlign w:val="center"/>
            <w:hideMark/>
          </w:tcPr>
          <w:p w:rsidR="00553D53" w:rsidRPr="00553D53" w:rsidRDefault="00553D53" w:rsidP="00553D53">
            <w:pPr>
              <w:jc w:val="center"/>
            </w:pPr>
            <w:r w:rsidRPr="00553D53">
              <w:t>7,6</w:t>
            </w:r>
          </w:p>
        </w:tc>
        <w:tc>
          <w:tcPr>
            <w:tcW w:w="2067" w:type="dxa"/>
            <w:noWrap/>
            <w:vAlign w:val="center"/>
            <w:hideMark/>
          </w:tcPr>
          <w:p w:rsidR="00553D53" w:rsidRPr="00553D53" w:rsidRDefault="00553D53" w:rsidP="00553D53">
            <w:pPr>
              <w:jc w:val="center"/>
            </w:pPr>
            <w:r w:rsidRPr="00553D53">
              <w:t>10,0</w:t>
            </w:r>
          </w:p>
        </w:tc>
      </w:tr>
      <w:tr w:rsidR="00553D53" w:rsidRPr="00553D53" w:rsidTr="00744398">
        <w:trPr>
          <w:trHeight w:val="264"/>
        </w:trPr>
        <w:tc>
          <w:tcPr>
            <w:tcW w:w="4110" w:type="dxa"/>
            <w:noWrap/>
            <w:hideMark/>
          </w:tcPr>
          <w:p w:rsidR="00553D53" w:rsidRPr="00553D53" w:rsidRDefault="00553D53" w:rsidP="00553D53">
            <w:pPr>
              <w:jc w:val="both"/>
            </w:pPr>
            <w:r w:rsidRPr="00553D53">
              <w:lastRenderedPageBreak/>
              <w:t>Dayanıksız Tüketim Malı</w:t>
            </w:r>
          </w:p>
        </w:tc>
        <w:tc>
          <w:tcPr>
            <w:tcW w:w="2153" w:type="dxa"/>
            <w:noWrap/>
            <w:vAlign w:val="center"/>
            <w:hideMark/>
          </w:tcPr>
          <w:p w:rsidR="00553D53" w:rsidRPr="00553D53" w:rsidRDefault="00553D53" w:rsidP="00553D53">
            <w:pPr>
              <w:jc w:val="center"/>
            </w:pPr>
            <w:r w:rsidRPr="00553D53">
              <w:t>0,4</w:t>
            </w:r>
          </w:p>
        </w:tc>
        <w:tc>
          <w:tcPr>
            <w:tcW w:w="2067" w:type="dxa"/>
            <w:noWrap/>
            <w:vAlign w:val="center"/>
            <w:hideMark/>
          </w:tcPr>
          <w:p w:rsidR="00553D53" w:rsidRPr="00553D53" w:rsidRDefault="00553D53" w:rsidP="00553D53">
            <w:r w:rsidRPr="00553D53">
              <w:t xml:space="preserve">               -2,8</w:t>
            </w:r>
          </w:p>
        </w:tc>
      </w:tr>
      <w:tr w:rsidR="00553D53" w:rsidRPr="00553D53" w:rsidTr="00744398">
        <w:trPr>
          <w:trHeight w:val="264"/>
        </w:trPr>
        <w:tc>
          <w:tcPr>
            <w:tcW w:w="4110" w:type="dxa"/>
            <w:noWrap/>
            <w:hideMark/>
          </w:tcPr>
          <w:p w:rsidR="00553D53" w:rsidRPr="00553D53" w:rsidRDefault="00553D53" w:rsidP="00553D53">
            <w:pPr>
              <w:jc w:val="both"/>
            </w:pPr>
            <w:r w:rsidRPr="00553D53">
              <w:t>Enerji</w:t>
            </w:r>
          </w:p>
        </w:tc>
        <w:tc>
          <w:tcPr>
            <w:tcW w:w="2153" w:type="dxa"/>
            <w:noWrap/>
            <w:vAlign w:val="center"/>
            <w:hideMark/>
          </w:tcPr>
          <w:p w:rsidR="00553D53" w:rsidRPr="00553D53" w:rsidRDefault="00553D53" w:rsidP="00553D53">
            <w:pPr>
              <w:jc w:val="center"/>
            </w:pPr>
            <w:r w:rsidRPr="00553D53">
              <w:t>-0,3</w:t>
            </w:r>
          </w:p>
        </w:tc>
        <w:tc>
          <w:tcPr>
            <w:tcW w:w="2067" w:type="dxa"/>
            <w:noWrap/>
            <w:vAlign w:val="center"/>
            <w:hideMark/>
          </w:tcPr>
          <w:p w:rsidR="00553D53" w:rsidRPr="00553D53" w:rsidRDefault="00553D53" w:rsidP="00553D53">
            <w:pPr>
              <w:jc w:val="center"/>
            </w:pPr>
            <w:r w:rsidRPr="00553D53">
              <w:t>0,7</w:t>
            </w:r>
          </w:p>
        </w:tc>
      </w:tr>
      <w:tr w:rsidR="00553D53" w:rsidRPr="00553D53" w:rsidTr="00744398">
        <w:trPr>
          <w:trHeight w:val="264"/>
        </w:trPr>
        <w:tc>
          <w:tcPr>
            <w:tcW w:w="4110" w:type="dxa"/>
            <w:noWrap/>
            <w:hideMark/>
          </w:tcPr>
          <w:p w:rsidR="00553D53" w:rsidRPr="00553D53" w:rsidRDefault="00553D53" w:rsidP="00553D53">
            <w:pPr>
              <w:jc w:val="both"/>
            </w:pPr>
            <w:r w:rsidRPr="00553D53">
              <w:t>Sermaye Malı</w:t>
            </w:r>
          </w:p>
        </w:tc>
        <w:tc>
          <w:tcPr>
            <w:tcW w:w="2153" w:type="dxa"/>
            <w:noWrap/>
            <w:vAlign w:val="center"/>
            <w:hideMark/>
          </w:tcPr>
          <w:p w:rsidR="00553D53" w:rsidRPr="00553D53" w:rsidRDefault="00553D53" w:rsidP="00553D53">
            <w:pPr>
              <w:jc w:val="center"/>
            </w:pPr>
            <w:r w:rsidRPr="00553D53">
              <w:t>-0,5</w:t>
            </w:r>
          </w:p>
        </w:tc>
        <w:tc>
          <w:tcPr>
            <w:tcW w:w="2067" w:type="dxa"/>
            <w:noWrap/>
            <w:vAlign w:val="center"/>
            <w:hideMark/>
          </w:tcPr>
          <w:p w:rsidR="00553D53" w:rsidRPr="00553D53" w:rsidRDefault="00553D53" w:rsidP="00553D53">
            <w:pPr>
              <w:jc w:val="center"/>
            </w:pPr>
            <w:r w:rsidRPr="00553D53">
              <w:t>-8,3</w:t>
            </w:r>
          </w:p>
        </w:tc>
      </w:tr>
      <w:tr w:rsidR="00553D53" w:rsidRPr="00553D53" w:rsidTr="00744398">
        <w:trPr>
          <w:trHeight w:val="264"/>
        </w:trPr>
        <w:tc>
          <w:tcPr>
            <w:tcW w:w="4110" w:type="dxa"/>
            <w:noWrap/>
            <w:hideMark/>
          </w:tcPr>
          <w:p w:rsidR="00553D53" w:rsidRPr="00553D53" w:rsidRDefault="00553D53" w:rsidP="00553D53">
            <w:pPr>
              <w:jc w:val="both"/>
              <w:rPr>
                <w:b/>
              </w:rPr>
            </w:pPr>
            <w:r w:rsidRPr="00553D53">
              <w:rPr>
                <w:b/>
              </w:rPr>
              <w:t>TOPLAM</w:t>
            </w:r>
          </w:p>
        </w:tc>
        <w:tc>
          <w:tcPr>
            <w:tcW w:w="2153" w:type="dxa"/>
            <w:noWrap/>
            <w:vAlign w:val="center"/>
            <w:hideMark/>
          </w:tcPr>
          <w:p w:rsidR="00553D53" w:rsidRPr="00553D53" w:rsidRDefault="00553D53" w:rsidP="00553D53">
            <w:pPr>
              <w:jc w:val="center"/>
              <w:rPr>
                <w:b/>
              </w:rPr>
            </w:pPr>
            <w:r w:rsidRPr="00553D53">
              <w:rPr>
                <w:b/>
              </w:rPr>
              <w:t>-0,3</w:t>
            </w:r>
          </w:p>
        </w:tc>
        <w:tc>
          <w:tcPr>
            <w:tcW w:w="2067" w:type="dxa"/>
            <w:noWrap/>
            <w:vAlign w:val="center"/>
            <w:hideMark/>
          </w:tcPr>
          <w:p w:rsidR="00553D53" w:rsidRPr="00553D53" w:rsidRDefault="00553D53" w:rsidP="00553D53">
            <w:pPr>
              <w:jc w:val="center"/>
              <w:rPr>
                <w:b/>
              </w:rPr>
            </w:pPr>
            <w:r w:rsidRPr="00553D53">
              <w:rPr>
                <w:b/>
              </w:rPr>
              <w:t>-6,5</w:t>
            </w:r>
          </w:p>
        </w:tc>
      </w:tr>
      <w:tr w:rsidR="00553D53" w:rsidRPr="00553D53" w:rsidTr="00744398">
        <w:trPr>
          <w:trHeight w:val="264"/>
        </w:trPr>
        <w:tc>
          <w:tcPr>
            <w:tcW w:w="4110" w:type="dxa"/>
            <w:shd w:val="clear" w:color="auto" w:fill="808080" w:themeFill="background1" w:themeFillShade="80"/>
            <w:noWrap/>
            <w:hideMark/>
          </w:tcPr>
          <w:p w:rsidR="00553D53" w:rsidRPr="00553D53" w:rsidRDefault="00553D53" w:rsidP="00553D53">
            <w:pPr>
              <w:jc w:val="both"/>
              <w:rPr>
                <w:b/>
              </w:rPr>
            </w:pPr>
          </w:p>
        </w:tc>
        <w:tc>
          <w:tcPr>
            <w:tcW w:w="2153" w:type="dxa"/>
            <w:shd w:val="clear" w:color="auto" w:fill="808080" w:themeFill="background1" w:themeFillShade="80"/>
            <w:noWrap/>
            <w:hideMark/>
          </w:tcPr>
          <w:p w:rsidR="00553D53" w:rsidRPr="00553D53" w:rsidRDefault="00553D53" w:rsidP="00553D53">
            <w:pPr>
              <w:jc w:val="both"/>
            </w:pPr>
          </w:p>
        </w:tc>
        <w:tc>
          <w:tcPr>
            <w:tcW w:w="2067" w:type="dxa"/>
            <w:shd w:val="clear" w:color="auto" w:fill="808080" w:themeFill="background1" w:themeFillShade="80"/>
            <w:noWrap/>
            <w:hideMark/>
          </w:tcPr>
          <w:p w:rsidR="00553D53" w:rsidRPr="00553D53" w:rsidRDefault="00553D53" w:rsidP="00553D53">
            <w:pPr>
              <w:jc w:val="both"/>
            </w:pPr>
          </w:p>
        </w:tc>
      </w:tr>
      <w:tr w:rsidR="00553D53" w:rsidRPr="00553D53" w:rsidTr="00744398">
        <w:trPr>
          <w:trHeight w:val="264"/>
        </w:trPr>
        <w:tc>
          <w:tcPr>
            <w:tcW w:w="4110" w:type="dxa"/>
            <w:noWrap/>
            <w:hideMark/>
          </w:tcPr>
          <w:p w:rsidR="00553D53" w:rsidRPr="00553D53" w:rsidRDefault="00553D53" w:rsidP="00553D53">
            <w:pPr>
              <w:jc w:val="both"/>
            </w:pPr>
            <w:r w:rsidRPr="00553D53">
              <w:rPr>
                <w:b/>
              </w:rPr>
              <w:t xml:space="preserve">Tablo 2: Sanayi Üretim Endeksi </w:t>
            </w:r>
            <w:proofErr w:type="spellStart"/>
            <w:r w:rsidRPr="00553D53">
              <w:rPr>
                <w:b/>
              </w:rPr>
              <w:t>Sektörel</w:t>
            </w:r>
            <w:proofErr w:type="spellEnd"/>
            <w:r w:rsidRPr="00553D53">
              <w:rPr>
                <w:b/>
              </w:rPr>
              <w:t xml:space="preserve"> Büyüme Oranları, Kasım 2018</w:t>
            </w:r>
          </w:p>
        </w:tc>
        <w:tc>
          <w:tcPr>
            <w:tcW w:w="2153" w:type="dxa"/>
            <w:noWrap/>
            <w:hideMark/>
          </w:tcPr>
          <w:p w:rsidR="00553D53" w:rsidRPr="00553D53" w:rsidRDefault="00553D53" w:rsidP="00553D53">
            <w:pPr>
              <w:jc w:val="both"/>
            </w:pPr>
            <w:r w:rsidRPr="00553D53">
              <w:t>Önceki Aya Göre (%)</w:t>
            </w:r>
          </w:p>
        </w:tc>
        <w:tc>
          <w:tcPr>
            <w:tcW w:w="2067" w:type="dxa"/>
            <w:noWrap/>
            <w:hideMark/>
          </w:tcPr>
          <w:p w:rsidR="00553D53" w:rsidRPr="00553D53" w:rsidRDefault="00553D53" w:rsidP="00553D53">
            <w:pPr>
              <w:jc w:val="both"/>
            </w:pPr>
            <w:r w:rsidRPr="00553D53">
              <w:t>Önceki Yıla Göre (%)</w:t>
            </w:r>
          </w:p>
        </w:tc>
      </w:tr>
      <w:tr w:rsidR="00553D53" w:rsidRPr="00553D53" w:rsidTr="00744398">
        <w:trPr>
          <w:trHeight w:val="264"/>
        </w:trPr>
        <w:tc>
          <w:tcPr>
            <w:tcW w:w="4110" w:type="dxa"/>
            <w:noWrap/>
            <w:hideMark/>
          </w:tcPr>
          <w:p w:rsidR="00553D53" w:rsidRPr="00553D53" w:rsidRDefault="00553D53" w:rsidP="00553D53">
            <w:r w:rsidRPr="00553D53">
              <w:t xml:space="preserve">Madencilik ve </w:t>
            </w:r>
            <w:proofErr w:type="spellStart"/>
            <w:r w:rsidRPr="00553D53">
              <w:t>Taşocakçılığı</w:t>
            </w:r>
            <w:proofErr w:type="spellEnd"/>
          </w:p>
        </w:tc>
        <w:tc>
          <w:tcPr>
            <w:tcW w:w="2153" w:type="dxa"/>
            <w:noWrap/>
            <w:vAlign w:val="center"/>
            <w:hideMark/>
          </w:tcPr>
          <w:p w:rsidR="00553D53" w:rsidRPr="00553D53" w:rsidRDefault="00553D53" w:rsidP="00553D53">
            <w:pPr>
              <w:jc w:val="center"/>
            </w:pPr>
            <w:r w:rsidRPr="00553D53">
              <w:t>-3,7</w:t>
            </w:r>
          </w:p>
        </w:tc>
        <w:tc>
          <w:tcPr>
            <w:tcW w:w="2067" w:type="dxa"/>
            <w:noWrap/>
            <w:vAlign w:val="center"/>
            <w:hideMark/>
          </w:tcPr>
          <w:p w:rsidR="00553D53" w:rsidRPr="00553D53" w:rsidRDefault="00553D53" w:rsidP="00553D53">
            <w:pPr>
              <w:jc w:val="center"/>
            </w:pPr>
            <w:r w:rsidRPr="00553D53">
              <w:t>-1,1</w:t>
            </w:r>
          </w:p>
        </w:tc>
      </w:tr>
      <w:tr w:rsidR="00553D53" w:rsidRPr="00553D53" w:rsidTr="00744398">
        <w:trPr>
          <w:trHeight w:val="264"/>
        </w:trPr>
        <w:tc>
          <w:tcPr>
            <w:tcW w:w="4110" w:type="dxa"/>
            <w:noWrap/>
            <w:hideMark/>
          </w:tcPr>
          <w:p w:rsidR="00553D53" w:rsidRPr="00553D53" w:rsidRDefault="00553D53" w:rsidP="00553D53">
            <w:pPr>
              <w:jc w:val="both"/>
            </w:pPr>
            <w:r w:rsidRPr="00553D53">
              <w:t>İmalat Sanayi</w:t>
            </w:r>
          </w:p>
        </w:tc>
        <w:tc>
          <w:tcPr>
            <w:tcW w:w="2153" w:type="dxa"/>
            <w:noWrap/>
            <w:vAlign w:val="center"/>
            <w:hideMark/>
          </w:tcPr>
          <w:p w:rsidR="00553D53" w:rsidRPr="00553D53" w:rsidRDefault="00553D53" w:rsidP="00553D53">
            <w:pPr>
              <w:jc w:val="center"/>
            </w:pPr>
            <w:r w:rsidRPr="00553D53">
              <w:t>-0,1</w:t>
            </w:r>
          </w:p>
        </w:tc>
        <w:tc>
          <w:tcPr>
            <w:tcW w:w="2067" w:type="dxa"/>
            <w:noWrap/>
            <w:vAlign w:val="center"/>
            <w:hideMark/>
          </w:tcPr>
          <w:p w:rsidR="00553D53" w:rsidRPr="00553D53" w:rsidRDefault="00553D53" w:rsidP="00553D53">
            <w:pPr>
              <w:jc w:val="center"/>
            </w:pPr>
            <w:r w:rsidRPr="00553D53">
              <w:t>-7,1</w:t>
            </w:r>
          </w:p>
        </w:tc>
      </w:tr>
      <w:tr w:rsidR="00553D53" w:rsidRPr="00553D53" w:rsidTr="00744398">
        <w:trPr>
          <w:trHeight w:val="264"/>
        </w:trPr>
        <w:tc>
          <w:tcPr>
            <w:tcW w:w="4110" w:type="dxa"/>
            <w:noWrap/>
            <w:hideMark/>
          </w:tcPr>
          <w:p w:rsidR="00553D53" w:rsidRPr="00553D53" w:rsidRDefault="00553D53" w:rsidP="00553D53">
            <w:pPr>
              <w:jc w:val="both"/>
            </w:pPr>
            <w:r w:rsidRPr="00553D53">
              <w:t>Elektrik, Gaz, Buhar ve İklimlendirme Üretimi ve Dağıtımı</w:t>
            </w:r>
          </w:p>
        </w:tc>
        <w:tc>
          <w:tcPr>
            <w:tcW w:w="2153" w:type="dxa"/>
            <w:noWrap/>
            <w:vAlign w:val="center"/>
            <w:hideMark/>
          </w:tcPr>
          <w:p w:rsidR="00553D53" w:rsidRPr="00553D53" w:rsidRDefault="00553D53" w:rsidP="00553D53">
            <w:pPr>
              <w:jc w:val="center"/>
            </w:pPr>
            <w:r w:rsidRPr="00553D53">
              <w:t>0,0</w:t>
            </w:r>
          </w:p>
        </w:tc>
        <w:tc>
          <w:tcPr>
            <w:tcW w:w="2067" w:type="dxa"/>
            <w:noWrap/>
            <w:vAlign w:val="center"/>
            <w:hideMark/>
          </w:tcPr>
          <w:p w:rsidR="00553D53" w:rsidRPr="00553D53" w:rsidRDefault="00553D53" w:rsidP="00553D53">
            <w:pPr>
              <w:jc w:val="center"/>
            </w:pPr>
            <w:r w:rsidRPr="00553D53">
              <w:t>-1,8</w:t>
            </w:r>
          </w:p>
        </w:tc>
      </w:tr>
      <w:tr w:rsidR="00553D53" w:rsidRPr="00553D53" w:rsidTr="00744398">
        <w:trPr>
          <w:trHeight w:val="264"/>
        </w:trPr>
        <w:tc>
          <w:tcPr>
            <w:tcW w:w="4110" w:type="dxa"/>
            <w:noWrap/>
            <w:hideMark/>
          </w:tcPr>
          <w:p w:rsidR="00553D53" w:rsidRPr="00553D53" w:rsidRDefault="00553D53" w:rsidP="00553D53">
            <w:pPr>
              <w:jc w:val="both"/>
              <w:rPr>
                <w:b/>
              </w:rPr>
            </w:pPr>
            <w:r w:rsidRPr="00553D53">
              <w:rPr>
                <w:b/>
              </w:rPr>
              <w:t>TOPLAM</w:t>
            </w:r>
          </w:p>
        </w:tc>
        <w:tc>
          <w:tcPr>
            <w:tcW w:w="2153" w:type="dxa"/>
            <w:noWrap/>
            <w:vAlign w:val="center"/>
            <w:hideMark/>
          </w:tcPr>
          <w:p w:rsidR="00553D53" w:rsidRPr="00553D53" w:rsidRDefault="00553D53" w:rsidP="00553D53">
            <w:pPr>
              <w:jc w:val="center"/>
              <w:rPr>
                <w:b/>
              </w:rPr>
            </w:pPr>
            <w:r w:rsidRPr="00553D53">
              <w:rPr>
                <w:b/>
              </w:rPr>
              <w:t>-0,3</w:t>
            </w:r>
          </w:p>
        </w:tc>
        <w:tc>
          <w:tcPr>
            <w:tcW w:w="2067" w:type="dxa"/>
            <w:noWrap/>
            <w:vAlign w:val="center"/>
            <w:hideMark/>
          </w:tcPr>
          <w:p w:rsidR="00553D53" w:rsidRPr="00553D53" w:rsidRDefault="00553D53" w:rsidP="00553D53">
            <w:pPr>
              <w:jc w:val="center"/>
              <w:rPr>
                <w:b/>
              </w:rPr>
            </w:pPr>
            <w:r w:rsidRPr="00553D53">
              <w:rPr>
                <w:b/>
              </w:rPr>
              <w:t>-6,5</w:t>
            </w:r>
          </w:p>
        </w:tc>
      </w:tr>
      <w:tr w:rsidR="00553D53" w:rsidRPr="00553D53" w:rsidTr="00744398">
        <w:trPr>
          <w:trHeight w:val="264"/>
        </w:trPr>
        <w:tc>
          <w:tcPr>
            <w:tcW w:w="4110" w:type="dxa"/>
            <w:shd w:val="clear" w:color="auto" w:fill="808080" w:themeFill="background1" w:themeFillShade="80"/>
            <w:noWrap/>
          </w:tcPr>
          <w:p w:rsidR="00553D53" w:rsidRPr="00553D53" w:rsidRDefault="00553D53" w:rsidP="00553D53">
            <w:pPr>
              <w:jc w:val="both"/>
              <w:rPr>
                <w:b/>
              </w:rPr>
            </w:pPr>
          </w:p>
        </w:tc>
        <w:tc>
          <w:tcPr>
            <w:tcW w:w="2153" w:type="dxa"/>
            <w:shd w:val="clear" w:color="auto" w:fill="808080" w:themeFill="background1" w:themeFillShade="80"/>
            <w:noWrap/>
            <w:vAlign w:val="center"/>
          </w:tcPr>
          <w:p w:rsidR="00553D53" w:rsidRPr="00553D53" w:rsidRDefault="00553D53" w:rsidP="00553D53">
            <w:pPr>
              <w:jc w:val="center"/>
              <w:rPr>
                <w:b/>
              </w:rPr>
            </w:pPr>
          </w:p>
        </w:tc>
        <w:tc>
          <w:tcPr>
            <w:tcW w:w="2067" w:type="dxa"/>
            <w:shd w:val="clear" w:color="auto" w:fill="808080" w:themeFill="background1" w:themeFillShade="80"/>
            <w:noWrap/>
            <w:vAlign w:val="center"/>
          </w:tcPr>
          <w:p w:rsidR="00553D53" w:rsidRPr="00553D53" w:rsidRDefault="00553D53" w:rsidP="00553D53">
            <w:pPr>
              <w:jc w:val="center"/>
              <w:rPr>
                <w:b/>
              </w:rPr>
            </w:pPr>
          </w:p>
        </w:tc>
      </w:tr>
      <w:tr w:rsidR="00553D53" w:rsidRPr="00553D53" w:rsidTr="00744398">
        <w:trPr>
          <w:trHeight w:val="264"/>
        </w:trPr>
        <w:tc>
          <w:tcPr>
            <w:tcW w:w="4110" w:type="dxa"/>
            <w:noWrap/>
          </w:tcPr>
          <w:p w:rsidR="00553D53" w:rsidRPr="00553D53" w:rsidRDefault="00553D53" w:rsidP="00553D53">
            <w:pPr>
              <w:jc w:val="both"/>
              <w:rPr>
                <w:b/>
              </w:rPr>
            </w:pPr>
            <w:r w:rsidRPr="00553D53">
              <w:rPr>
                <w:b/>
              </w:rPr>
              <w:t>Tablo 3. Sanayi Üretim Endeksi Teknoloji Sınıflarına Göre Büyüme Oranları, Kasım 2018</w:t>
            </w:r>
          </w:p>
        </w:tc>
        <w:tc>
          <w:tcPr>
            <w:tcW w:w="2153" w:type="dxa"/>
            <w:noWrap/>
          </w:tcPr>
          <w:p w:rsidR="00553D53" w:rsidRPr="00553D53" w:rsidRDefault="00553D53" w:rsidP="00553D53">
            <w:pPr>
              <w:jc w:val="both"/>
            </w:pPr>
            <w:r w:rsidRPr="00553D53">
              <w:t>Önceki Aya Göre (%)</w:t>
            </w:r>
          </w:p>
        </w:tc>
        <w:tc>
          <w:tcPr>
            <w:tcW w:w="2067" w:type="dxa"/>
            <w:noWrap/>
          </w:tcPr>
          <w:p w:rsidR="00553D53" w:rsidRPr="00553D53" w:rsidRDefault="00553D53" w:rsidP="00553D53">
            <w:pPr>
              <w:jc w:val="both"/>
            </w:pPr>
            <w:r w:rsidRPr="00553D53">
              <w:t>Önceki Yıla Göre (%)</w:t>
            </w:r>
          </w:p>
        </w:tc>
      </w:tr>
      <w:tr w:rsidR="00553D53" w:rsidRPr="00553D53" w:rsidTr="00744398">
        <w:trPr>
          <w:trHeight w:val="264"/>
        </w:trPr>
        <w:tc>
          <w:tcPr>
            <w:tcW w:w="4110" w:type="dxa"/>
            <w:noWrap/>
          </w:tcPr>
          <w:p w:rsidR="00553D53" w:rsidRPr="00553D53" w:rsidRDefault="00553D53" w:rsidP="00553D53">
            <w:pPr>
              <w:jc w:val="both"/>
            </w:pPr>
            <w:r w:rsidRPr="00553D53">
              <w:t>Düşük Teknoloji</w:t>
            </w:r>
          </w:p>
        </w:tc>
        <w:tc>
          <w:tcPr>
            <w:tcW w:w="2153" w:type="dxa"/>
            <w:noWrap/>
            <w:vAlign w:val="center"/>
          </w:tcPr>
          <w:p w:rsidR="00553D53" w:rsidRPr="00553D53" w:rsidRDefault="00553D53" w:rsidP="00553D53">
            <w:pPr>
              <w:jc w:val="center"/>
            </w:pPr>
            <w:r w:rsidRPr="00553D53">
              <w:t>0,9</w:t>
            </w:r>
          </w:p>
        </w:tc>
        <w:tc>
          <w:tcPr>
            <w:tcW w:w="2067" w:type="dxa"/>
            <w:noWrap/>
            <w:vAlign w:val="center"/>
          </w:tcPr>
          <w:p w:rsidR="00553D53" w:rsidRPr="00553D53" w:rsidRDefault="00553D53" w:rsidP="00553D53">
            <w:pPr>
              <w:jc w:val="center"/>
            </w:pPr>
            <w:r w:rsidRPr="00553D53">
              <w:t>-3,5</w:t>
            </w:r>
          </w:p>
        </w:tc>
      </w:tr>
      <w:tr w:rsidR="00553D53" w:rsidRPr="00553D53" w:rsidTr="00744398">
        <w:trPr>
          <w:trHeight w:val="264"/>
        </w:trPr>
        <w:tc>
          <w:tcPr>
            <w:tcW w:w="4110" w:type="dxa"/>
            <w:noWrap/>
          </w:tcPr>
          <w:p w:rsidR="00553D53" w:rsidRPr="00553D53" w:rsidRDefault="00553D53" w:rsidP="00553D53">
            <w:pPr>
              <w:jc w:val="both"/>
            </w:pPr>
            <w:r w:rsidRPr="00553D53">
              <w:t>Orta Düşük Teknoloji</w:t>
            </w:r>
          </w:p>
        </w:tc>
        <w:tc>
          <w:tcPr>
            <w:tcW w:w="2153" w:type="dxa"/>
            <w:noWrap/>
            <w:vAlign w:val="center"/>
          </w:tcPr>
          <w:p w:rsidR="00553D53" w:rsidRPr="00553D53" w:rsidRDefault="00553D53" w:rsidP="00553D53">
            <w:pPr>
              <w:jc w:val="center"/>
            </w:pPr>
            <w:r w:rsidRPr="00553D53">
              <w:t>-2,4</w:t>
            </w:r>
          </w:p>
        </w:tc>
        <w:tc>
          <w:tcPr>
            <w:tcW w:w="2067" w:type="dxa"/>
            <w:noWrap/>
            <w:vAlign w:val="center"/>
          </w:tcPr>
          <w:p w:rsidR="00553D53" w:rsidRPr="00553D53" w:rsidRDefault="00553D53" w:rsidP="00553D53">
            <w:pPr>
              <w:jc w:val="center"/>
            </w:pPr>
            <w:r w:rsidRPr="00553D53">
              <w:t>-14,2</w:t>
            </w:r>
          </w:p>
        </w:tc>
      </w:tr>
      <w:tr w:rsidR="00553D53" w:rsidRPr="00553D53" w:rsidTr="00744398">
        <w:trPr>
          <w:trHeight w:val="264"/>
        </w:trPr>
        <w:tc>
          <w:tcPr>
            <w:tcW w:w="4110" w:type="dxa"/>
            <w:noWrap/>
          </w:tcPr>
          <w:p w:rsidR="00553D53" w:rsidRPr="00553D53" w:rsidRDefault="00553D53" w:rsidP="00553D53">
            <w:pPr>
              <w:jc w:val="both"/>
            </w:pPr>
            <w:r w:rsidRPr="00553D53">
              <w:t>Orta Yüksek Teknoloji</w:t>
            </w:r>
          </w:p>
        </w:tc>
        <w:tc>
          <w:tcPr>
            <w:tcW w:w="2153" w:type="dxa"/>
            <w:noWrap/>
            <w:vAlign w:val="center"/>
          </w:tcPr>
          <w:p w:rsidR="00553D53" w:rsidRPr="00553D53" w:rsidRDefault="00553D53" w:rsidP="00553D53">
            <w:pPr>
              <w:jc w:val="center"/>
            </w:pPr>
            <w:r w:rsidRPr="00553D53">
              <w:t>2,1</w:t>
            </w:r>
          </w:p>
        </w:tc>
        <w:tc>
          <w:tcPr>
            <w:tcW w:w="2067" w:type="dxa"/>
            <w:noWrap/>
            <w:vAlign w:val="center"/>
          </w:tcPr>
          <w:p w:rsidR="00553D53" w:rsidRPr="00553D53" w:rsidRDefault="00553D53" w:rsidP="00553D53">
            <w:r w:rsidRPr="00553D53">
              <w:t xml:space="preserve">                -7,6</w:t>
            </w:r>
          </w:p>
        </w:tc>
      </w:tr>
      <w:tr w:rsidR="00553D53" w:rsidRPr="00553D53" w:rsidTr="00744398">
        <w:trPr>
          <w:trHeight w:val="264"/>
        </w:trPr>
        <w:tc>
          <w:tcPr>
            <w:tcW w:w="4110" w:type="dxa"/>
            <w:noWrap/>
          </w:tcPr>
          <w:p w:rsidR="00553D53" w:rsidRPr="00553D53" w:rsidRDefault="00553D53" w:rsidP="00553D53">
            <w:pPr>
              <w:jc w:val="both"/>
            </w:pPr>
            <w:r w:rsidRPr="00553D53">
              <w:t>Yüksek Teknoloji</w:t>
            </w:r>
          </w:p>
        </w:tc>
        <w:tc>
          <w:tcPr>
            <w:tcW w:w="2153" w:type="dxa"/>
            <w:noWrap/>
            <w:vAlign w:val="center"/>
          </w:tcPr>
          <w:p w:rsidR="00553D53" w:rsidRPr="00553D53" w:rsidRDefault="00553D53" w:rsidP="00553D53">
            <w:pPr>
              <w:jc w:val="center"/>
            </w:pPr>
            <w:r w:rsidRPr="00553D53">
              <w:t>-3,5</w:t>
            </w:r>
          </w:p>
        </w:tc>
        <w:tc>
          <w:tcPr>
            <w:tcW w:w="2067" w:type="dxa"/>
            <w:noWrap/>
            <w:vAlign w:val="center"/>
          </w:tcPr>
          <w:p w:rsidR="00553D53" w:rsidRPr="00553D53" w:rsidRDefault="00553D53" w:rsidP="00553D53">
            <w:pPr>
              <w:jc w:val="center"/>
            </w:pPr>
            <w:r w:rsidRPr="00553D53">
              <w:t>5,9</w:t>
            </w:r>
          </w:p>
        </w:tc>
      </w:tr>
      <w:tr w:rsidR="00553D53" w:rsidRPr="00553D53" w:rsidTr="00744398">
        <w:trPr>
          <w:trHeight w:val="264"/>
        </w:trPr>
        <w:tc>
          <w:tcPr>
            <w:tcW w:w="4110" w:type="dxa"/>
            <w:noWrap/>
          </w:tcPr>
          <w:p w:rsidR="00553D53" w:rsidRPr="00553D53" w:rsidRDefault="00553D53" w:rsidP="00553D53">
            <w:pPr>
              <w:jc w:val="both"/>
              <w:rPr>
                <w:b/>
              </w:rPr>
            </w:pPr>
            <w:r w:rsidRPr="00553D53">
              <w:rPr>
                <w:b/>
              </w:rPr>
              <w:t>TOPLAM</w:t>
            </w:r>
          </w:p>
        </w:tc>
        <w:tc>
          <w:tcPr>
            <w:tcW w:w="2153" w:type="dxa"/>
            <w:noWrap/>
            <w:vAlign w:val="center"/>
          </w:tcPr>
          <w:p w:rsidR="00553D53" w:rsidRPr="00553D53" w:rsidRDefault="00553D53" w:rsidP="00553D53">
            <w:pPr>
              <w:jc w:val="center"/>
              <w:rPr>
                <w:b/>
              </w:rPr>
            </w:pPr>
            <w:r w:rsidRPr="00553D53">
              <w:rPr>
                <w:b/>
              </w:rPr>
              <w:t>-0,3</w:t>
            </w:r>
          </w:p>
        </w:tc>
        <w:tc>
          <w:tcPr>
            <w:tcW w:w="2067" w:type="dxa"/>
            <w:noWrap/>
            <w:vAlign w:val="center"/>
          </w:tcPr>
          <w:p w:rsidR="00553D53" w:rsidRPr="00553D53" w:rsidRDefault="00553D53" w:rsidP="00553D53">
            <w:pPr>
              <w:jc w:val="center"/>
              <w:rPr>
                <w:b/>
              </w:rPr>
            </w:pPr>
            <w:r w:rsidRPr="00553D53">
              <w:rPr>
                <w:b/>
              </w:rPr>
              <w:t>-6,5</w:t>
            </w:r>
          </w:p>
        </w:tc>
      </w:tr>
    </w:tbl>
    <w:p w:rsidR="00553D53" w:rsidRPr="00553D53" w:rsidRDefault="00553D53" w:rsidP="00553D53">
      <w:pPr>
        <w:jc w:val="both"/>
        <w:rPr>
          <w:rFonts w:eastAsiaTheme="minorEastAsia"/>
          <w:lang w:eastAsia="tr-TR"/>
        </w:rPr>
      </w:pPr>
    </w:p>
    <w:p w:rsidR="000A1DB0" w:rsidRDefault="000A1DB0"/>
    <w:sectPr w:rsidR="000A1DB0" w:rsidSect="00432DF5">
      <w:footerReference w:type="default" r:id="rId2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D53" w:rsidRDefault="00553D53" w:rsidP="00553D53">
      <w:pPr>
        <w:spacing w:after="0" w:line="240" w:lineRule="auto"/>
      </w:pPr>
      <w:r>
        <w:separator/>
      </w:r>
    </w:p>
  </w:endnote>
  <w:endnote w:type="continuationSeparator" w:id="0">
    <w:p w:rsidR="00553D53" w:rsidRDefault="00553D53" w:rsidP="0055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340A81" w:rsidRDefault="00553D53">
        <w:pPr>
          <w:pStyle w:val="Altbilgi"/>
          <w:jc w:val="right"/>
        </w:pPr>
        <w:r>
          <w:fldChar w:fldCharType="begin"/>
        </w:r>
        <w:r>
          <w:instrText xml:space="preserve"> PAGE   \* MERGEFORMAT </w:instrText>
        </w:r>
        <w:r>
          <w:fldChar w:fldCharType="separate"/>
        </w:r>
        <w:r w:rsidR="00BE277E">
          <w:rPr>
            <w:noProof/>
          </w:rPr>
          <w:t>1</w:t>
        </w:r>
        <w:r>
          <w:rPr>
            <w:noProof/>
          </w:rPr>
          <w:fldChar w:fldCharType="end"/>
        </w:r>
      </w:p>
    </w:sdtContent>
  </w:sdt>
  <w:p w:rsidR="00340A81" w:rsidRDefault="00BE27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D53" w:rsidRDefault="00553D53" w:rsidP="00553D53">
      <w:pPr>
        <w:spacing w:after="0" w:line="240" w:lineRule="auto"/>
      </w:pPr>
      <w:r>
        <w:separator/>
      </w:r>
    </w:p>
  </w:footnote>
  <w:footnote w:type="continuationSeparator" w:id="0">
    <w:p w:rsidR="00553D53" w:rsidRDefault="00553D53" w:rsidP="00553D53">
      <w:pPr>
        <w:spacing w:after="0" w:line="240" w:lineRule="auto"/>
      </w:pPr>
      <w:r>
        <w:continuationSeparator/>
      </w:r>
    </w:p>
  </w:footnote>
  <w:footnote w:id="1">
    <w:p w:rsidR="00553D53" w:rsidRDefault="00553D53" w:rsidP="00553D53">
      <w:pPr>
        <w:pStyle w:val="DipnotMetni"/>
      </w:pPr>
      <w:r>
        <w:rPr>
          <w:rStyle w:val="DipnotBavurusu"/>
        </w:rPr>
        <w:footnoteRef/>
      </w:r>
      <w:r>
        <w:t xml:space="preserve"> Bültende mevsim ve takvim etkilerinden arındırılmış veriler kullanılmaktadır.</w:t>
      </w:r>
    </w:p>
  </w:footnote>
  <w:footnote w:id="2">
    <w:p w:rsidR="00553D53" w:rsidRDefault="00553D53" w:rsidP="00553D53">
      <w:pPr>
        <w:pStyle w:val="DipnotMetni"/>
      </w:pPr>
      <w:r>
        <w:rPr>
          <w:rStyle w:val="DipnotBavurusu"/>
        </w:rPr>
        <w:footnoteRef/>
      </w:r>
      <w:r>
        <w:t xml:space="preserve"> Bültende mevsim ve takvim etkilerinden arındırılmış veriler kullanılmaktadır.</w:t>
      </w:r>
    </w:p>
  </w:footnote>
  <w:footnote w:id="3">
    <w:p w:rsidR="00553D53" w:rsidRDefault="00553D53" w:rsidP="00553D53">
      <w:pPr>
        <w:pStyle w:val="DipnotMetni"/>
      </w:pPr>
      <w:r>
        <w:rPr>
          <w:rStyle w:val="DipnotBavurusu"/>
        </w:rPr>
        <w:footnoteRef/>
      </w:r>
      <w:r>
        <w:t xml:space="preserve"> Bültende mevsim ve takvim etkilerinden arındırılmış veriler kullanılmaktadır.</w:t>
      </w:r>
    </w:p>
  </w:footnote>
  <w:footnote w:id="4">
    <w:p w:rsidR="00553D53" w:rsidRDefault="00553D53" w:rsidP="00553D53">
      <w:pPr>
        <w:pStyle w:val="DipnotMetni"/>
      </w:pPr>
      <w:r>
        <w:rPr>
          <w:rStyle w:val="DipnotBavurusu"/>
        </w:rPr>
        <w:footnoteRef/>
      </w:r>
      <w:r>
        <w:t xml:space="preserve"> Bültende mevsim ve takvim etkilerinden arındırılmış veriler kullanılmaktadır.</w:t>
      </w:r>
    </w:p>
  </w:footnote>
  <w:footnote w:id="5">
    <w:p w:rsidR="00553D53" w:rsidRDefault="00553D53" w:rsidP="00553D53">
      <w:pPr>
        <w:pStyle w:val="DipnotMetni"/>
      </w:pPr>
      <w:r>
        <w:rPr>
          <w:rStyle w:val="DipnotBavurusu"/>
        </w:rPr>
        <w:footnoteRef/>
      </w:r>
      <w:r>
        <w:t xml:space="preserve"> Bültende mevsim ve takvim etkilerinden arındırılmış veriler kullanılmaktadır.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9A"/>
    <w:rsid w:val="000A1DB0"/>
    <w:rsid w:val="00553D53"/>
    <w:rsid w:val="0089359A"/>
    <w:rsid w:val="00BE277E"/>
    <w:rsid w:val="00D764F4"/>
    <w:rsid w:val="00DA6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DA6C0A"/>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A1DB0"/>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rsid w:val="000A1DB0"/>
    <w:rPr>
      <w:rFonts w:eastAsiaTheme="minorEastAsia"/>
      <w:lang w:eastAsia="tr-TR"/>
    </w:rPr>
  </w:style>
  <w:style w:type="paragraph" w:styleId="BalonMetni">
    <w:name w:val="Balloon Text"/>
    <w:basedOn w:val="Normal"/>
    <w:link w:val="BalonMetniChar"/>
    <w:uiPriority w:val="99"/>
    <w:semiHidden/>
    <w:unhideWhenUsed/>
    <w:rsid w:val="000A1D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1DB0"/>
    <w:rPr>
      <w:rFonts w:ascii="Tahoma" w:hAnsi="Tahoma" w:cs="Tahoma"/>
      <w:sz w:val="16"/>
      <w:szCs w:val="16"/>
    </w:rPr>
  </w:style>
  <w:style w:type="paragraph" w:styleId="stbilgi">
    <w:name w:val="header"/>
    <w:basedOn w:val="Normal"/>
    <w:link w:val="stbilgiChar"/>
    <w:uiPriority w:val="99"/>
    <w:unhideWhenUsed/>
    <w:rsid w:val="000A1DB0"/>
    <w:pPr>
      <w:tabs>
        <w:tab w:val="center" w:pos="4536"/>
        <w:tab w:val="right" w:pos="9072"/>
      </w:tabs>
      <w:spacing w:after="0" w:line="240" w:lineRule="auto"/>
    </w:pPr>
    <w:rPr>
      <w:rFonts w:eastAsiaTheme="minorEastAsia"/>
      <w:lang w:eastAsia="tr-TR"/>
    </w:rPr>
  </w:style>
  <w:style w:type="character" w:customStyle="1" w:styleId="stbilgiChar">
    <w:name w:val="Üstbilgi Char"/>
    <w:basedOn w:val="VarsaylanParagrafYazTipi"/>
    <w:link w:val="stbilgi"/>
    <w:uiPriority w:val="99"/>
    <w:rsid w:val="000A1DB0"/>
    <w:rPr>
      <w:rFonts w:eastAsiaTheme="minorEastAsia"/>
      <w:lang w:eastAsia="tr-TR"/>
    </w:rPr>
  </w:style>
  <w:style w:type="character" w:customStyle="1" w:styleId="Balk2Char">
    <w:name w:val="Başlık 2 Char"/>
    <w:basedOn w:val="VarsaylanParagrafYazTipi"/>
    <w:link w:val="Balk2"/>
    <w:uiPriority w:val="9"/>
    <w:rsid w:val="00DA6C0A"/>
    <w:rPr>
      <w:rFonts w:asciiTheme="majorHAnsi" w:eastAsiaTheme="majorEastAsia" w:hAnsiTheme="majorHAnsi" w:cstheme="majorBidi"/>
      <w:b/>
      <w:bCs/>
      <w:color w:val="4F81BD" w:themeColor="accent1"/>
      <w:sz w:val="26"/>
      <w:szCs w:val="26"/>
      <w:lang w:eastAsia="tr-TR"/>
    </w:rPr>
  </w:style>
  <w:style w:type="table" w:customStyle="1" w:styleId="AkGlgeleme-Vurgu11">
    <w:name w:val="Açık Gölgeleme - Vurgu 11"/>
    <w:basedOn w:val="NormalTablo"/>
    <w:uiPriority w:val="60"/>
    <w:rsid w:val="00DA6C0A"/>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simYazs">
    <w:name w:val="caption"/>
    <w:basedOn w:val="Normal"/>
    <w:next w:val="Normal"/>
    <w:uiPriority w:val="35"/>
    <w:unhideWhenUsed/>
    <w:qFormat/>
    <w:rsid w:val="00DA6C0A"/>
    <w:pPr>
      <w:spacing w:line="240" w:lineRule="auto"/>
    </w:pPr>
    <w:rPr>
      <w:rFonts w:eastAsiaTheme="minorEastAsia"/>
      <w:b/>
      <w:bCs/>
      <w:color w:val="4F81BD" w:themeColor="accent1"/>
      <w:sz w:val="18"/>
      <w:szCs w:val="18"/>
      <w:lang w:eastAsia="tr-TR"/>
    </w:rPr>
  </w:style>
  <w:style w:type="table" w:styleId="TabloKlavuzu">
    <w:name w:val="Table Grid"/>
    <w:basedOn w:val="NormalTablo"/>
    <w:uiPriority w:val="59"/>
    <w:rsid w:val="00553D53"/>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53D53"/>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semiHidden/>
    <w:rsid w:val="00553D53"/>
    <w:rPr>
      <w:rFonts w:eastAsiaTheme="minorEastAsia"/>
      <w:sz w:val="20"/>
      <w:szCs w:val="20"/>
      <w:lang w:eastAsia="tr-TR"/>
    </w:rPr>
  </w:style>
  <w:style w:type="character" w:styleId="DipnotBavurusu">
    <w:name w:val="footnote reference"/>
    <w:basedOn w:val="VarsaylanParagrafYazTipi"/>
    <w:uiPriority w:val="99"/>
    <w:semiHidden/>
    <w:unhideWhenUsed/>
    <w:rsid w:val="00553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DA6C0A"/>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A1DB0"/>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rsid w:val="000A1DB0"/>
    <w:rPr>
      <w:rFonts w:eastAsiaTheme="minorEastAsia"/>
      <w:lang w:eastAsia="tr-TR"/>
    </w:rPr>
  </w:style>
  <w:style w:type="paragraph" w:styleId="BalonMetni">
    <w:name w:val="Balloon Text"/>
    <w:basedOn w:val="Normal"/>
    <w:link w:val="BalonMetniChar"/>
    <w:uiPriority w:val="99"/>
    <w:semiHidden/>
    <w:unhideWhenUsed/>
    <w:rsid w:val="000A1D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1DB0"/>
    <w:rPr>
      <w:rFonts w:ascii="Tahoma" w:hAnsi="Tahoma" w:cs="Tahoma"/>
      <w:sz w:val="16"/>
      <w:szCs w:val="16"/>
    </w:rPr>
  </w:style>
  <w:style w:type="paragraph" w:styleId="stbilgi">
    <w:name w:val="header"/>
    <w:basedOn w:val="Normal"/>
    <w:link w:val="stbilgiChar"/>
    <w:uiPriority w:val="99"/>
    <w:unhideWhenUsed/>
    <w:rsid w:val="000A1DB0"/>
    <w:pPr>
      <w:tabs>
        <w:tab w:val="center" w:pos="4536"/>
        <w:tab w:val="right" w:pos="9072"/>
      </w:tabs>
      <w:spacing w:after="0" w:line="240" w:lineRule="auto"/>
    </w:pPr>
    <w:rPr>
      <w:rFonts w:eastAsiaTheme="minorEastAsia"/>
      <w:lang w:eastAsia="tr-TR"/>
    </w:rPr>
  </w:style>
  <w:style w:type="character" w:customStyle="1" w:styleId="stbilgiChar">
    <w:name w:val="Üstbilgi Char"/>
    <w:basedOn w:val="VarsaylanParagrafYazTipi"/>
    <w:link w:val="stbilgi"/>
    <w:uiPriority w:val="99"/>
    <w:rsid w:val="000A1DB0"/>
    <w:rPr>
      <w:rFonts w:eastAsiaTheme="minorEastAsia"/>
      <w:lang w:eastAsia="tr-TR"/>
    </w:rPr>
  </w:style>
  <w:style w:type="character" w:customStyle="1" w:styleId="Balk2Char">
    <w:name w:val="Başlık 2 Char"/>
    <w:basedOn w:val="VarsaylanParagrafYazTipi"/>
    <w:link w:val="Balk2"/>
    <w:uiPriority w:val="9"/>
    <w:rsid w:val="00DA6C0A"/>
    <w:rPr>
      <w:rFonts w:asciiTheme="majorHAnsi" w:eastAsiaTheme="majorEastAsia" w:hAnsiTheme="majorHAnsi" w:cstheme="majorBidi"/>
      <w:b/>
      <w:bCs/>
      <w:color w:val="4F81BD" w:themeColor="accent1"/>
      <w:sz w:val="26"/>
      <w:szCs w:val="26"/>
      <w:lang w:eastAsia="tr-TR"/>
    </w:rPr>
  </w:style>
  <w:style w:type="table" w:customStyle="1" w:styleId="AkGlgeleme-Vurgu11">
    <w:name w:val="Açık Gölgeleme - Vurgu 11"/>
    <w:basedOn w:val="NormalTablo"/>
    <w:uiPriority w:val="60"/>
    <w:rsid w:val="00DA6C0A"/>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simYazs">
    <w:name w:val="caption"/>
    <w:basedOn w:val="Normal"/>
    <w:next w:val="Normal"/>
    <w:uiPriority w:val="35"/>
    <w:unhideWhenUsed/>
    <w:qFormat/>
    <w:rsid w:val="00DA6C0A"/>
    <w:pPr>
      <w:spacing w:line="240" w:lineRule="auto"/>
    </w:pPr>
    <w:rPr>
      <w:rFonts w:eastAsiaTheme="minorEastAsia"/>
      <w:b/>
      <w:bCs/>
      <w:color w:val="4F81BD" w:themeColor="accent1"/>
      <w:sz w:val="18"/>
      <w:szCs w:val="18"/>
      <w:lang w:eastAsia="tr-TR"/>
    </w:rPr>
  </w:style>
  <w:style w:type="table" w:styleId="TabloKlavuzu">
    <w:name w:val="Table Grid"/>
    <w:basedOn w:val="NormalTablo"/>
    <w:uiPriority w:val="59"/>
    <w:rsid w:val="00553D53"/>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53D53"/>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semiHidden/>
    <w:rsid w:val="00553D53"/>
    <w:rPr>
      <w:rFonts w:eastAsiaTheme="minorEastAsia"/>
      <w:sz w:val="20"/>
      <w:szCs w:val="20"/>
      <w:lang w:eastAsia="tr-TR"/>
    </w:rPr>
  </w:style>
  <w:style w:type="character" w:styleId="DipnotBavurusu">
    <w:name w:val="footnote reference"/>
    <w:basedOn w:val="VarsaylanParagrafYazTipi"/>
    <w:uiPriority w:val="99"/>
    <w:semiHidden/>
    <w:unhideWhenUsed/>
    <w:rsid w:val="00553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8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0.jpeg"/><Relationship Id="rId26"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9.emf"/><Relationship Id="rId25" Type="http://schemas.openxmlformats.org/officeDocument/2006/relationships/chart" Target="charts/chart9.xml"/><Relationship Id="rId2" Type="http://schemas.microsoft.com/office/2007/relationships/stylesWithEffects" Target="stylesWithEffects.xml"/><Relationship Id="rId16" Type="http://schemas.openxmlformats.org/officeDocument/2006/relationships/image" Target="media/image8.emf"/><Relationship Id="rId20" Type="http://schemas.openxmlformats.org/officeDocument/2006/relationships/chart" Target="charts/chart4.xm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chart" Target="charts/chart8.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7.xml"/><Relationship Id="rId28" Type="http://schemas.openxmlformats.org/officeDocument/2006/relationships/chart" Target="charts/chart12.xml"/><Relationship Id="rId10" Type="http://schemas.openxmlformats.org/officeDocument/2006/relationships/image" Target="media/image4.emf"/><Relationship Id="rId19" Type="http://schemas.openxmlformats.org/officeDocument/2006/relationships/chart" Target="charts/chart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Taylan%20PC\Cloud\HH_D&#305;&#351;%20Ticaret%20&#304;statistik\DT_0219\Aral&#305;k_dt%20-%20Kopya.xlsx" TargetMode="Externa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AsusN20\Desktop\ENDEKS%20VE%20B&#220;LTENLER\Sanayi%20&#220;retim%20Endeksi\2018\11.Kas&#305;m.2018\S&#220;E_Kas&#305;m.2018.xlsx" TargetMode="External"/><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1" Type="http://schemas.openxmlformats.org/officeDocument/2006/relationships/oleObject" Target="file:///D:\Taylan%20PC\Cloud\HH_D&#305;&#351;%20Ticaret%20&#304;statistik\DT_0219\Aral&#305;k_dt%20-%20Kopya.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AsusN20\Desktop\ENDEKS%20VE%20B&#220;LTENLER\Sanayi%20&#220;retim%20Endeksi\2018\11.Kas&#305;m.2018\S&#220;E_Kas&#305;m.2018.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susN20\Desktop\ENDEKS%20VE%20B&#220;LTENLER\Sanayi%20&#220;retim%20Endeksi\2018\11.Kas&#305;m.2018\S&#220;E_Kas&#305;m.2018.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AsusN20\Desktop\ENDEKS%20VE%20B&#220;LTENLER\Sanayi%20&#220;retim%20Endeksi\2018\11.Kas&#305;m.2018\S&#220;E_Kas&#305;m.2018.xlsx" TargetMode="External"/><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AsusN20\Desktop\ENDEKS%20VE%20B&#220;LTENLER\Sanayi%20&#220;retim%20Endeksi\2018\11.Kas&#305;m.2018\S&#220;E_Kas&#305;m.2018.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Sayfa1!$L$7</c:f>
              <c:strCache>
                <c:ptCount val="1"/>
                <c:pt idx="0">
                  <c:v>2017</c:v>
                </c:pt>
              </c:strCache>
            </c:strRef>
          </c:tx>
          <c:spPr>
            <a:solidFill>
              <a:srgbClr val="002060"/>
            </a:solidFill>
          </c:spPr>
          <c:invertIfNegative val="0"/>
          <c:dLbls>
            <c:spPr>
              <a:noFill/>
              <a:ln>
                <a:noFill/>
              </a:ln>
              <a:effectLst/>
            </c:spPr>
            <c:txPr>
              <a:bodyPr wrap="square" lIns="38100" tIns="19050" rIns="38100" bIns="19050" anchor="ctr">
                <a:spAutoFit/>
              </a:bodyPr>
              <a:lstStyle/>
              <a:p>
                <a:pPr>
                  <a:defRPr sz="800"/>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Sayfa1!$K$8:$K$19</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Sayfa1!$L$8:$L$19</c:f>
              <c:numCache>
                <c:formatCode>0.0</c:formatCode>
                <c:ptCount val="12"/>
                <c:pt idx="0">
                  <c:v>11.247585677</c:v>
                </c:pt>
                <c:pt idx="1">
                  <c:v>12.089908934</c:v>
                </c:pt>
                <c:pt idx="2">
                  <c:v>14.470814059</c:v>
                </c:pt>
                <c:pt idx="3">
                  <c:v>12.859938790999999</c:v>
                </c:pt>
                <c:pt idx="4">
                  <c:v>13.582079731</c:v>
                </c:pt>
                <c:pt idx="5">
                  <c:v>13.125306944</c:v>
                </c:pt>
                <c:pt idx="6">
                  <c:v>12.612074055999999</c:v>
                </c:pt>
                <c:pt idx="7">
                  <c:v>13.24846299</c:v>
                </c:pt>
                <c:pt idx="8">
                  <c:v>11.810080805</c:v>
                </c:pt>
                <c:pt idx="9">
                  <c:v>13.912699494000002</c:v>
                </c:pt>
                <c:pt idx="10">
                  <c:v>14.188323116000001</c:v>
                </c:pt>
                <c:pt idx="11">
                  <c:v>13.845665817</c:v>
                </c:pt>
              </c:numCache>
            </c:numRef>
          </c:val>
          <c:extLst xmlns:c16r2="http://schemas.microsoft.com/office/drawing/2015/06/chart">
            <c:ext xmlns:c16="http://schemas.microsoft.com/office/drawing/2014/chart" uri="{C3380CC4-5D6E-409C-BE32-E72D297353CC}">
              <c16:uniqueId val="{00000000-C29B-418E-9A23-C1FB281846E4}"/>
            </c:ext>
          </c:extLst>
        </c:ser>
        <c:ser>
          <c:idx val="1"/>
          <c:order val="1"/>
          <c:tx>
            <c:strRef>
              <c:f>Sayfa1!$M$7</c:f>
              <c:strCache>
                <c:ptCount val="1"/>
                <c:pt idx="0">
                  <c:v>2018</c:v>
                </c:pt>
              </c:strCache>
            </c:strRef>
          </c:tx>
          <c:spPr>
            <a:solidFill>
              <a:srgbClr val="C00000"/>
            </a:solidFill>
          </c:spPr>
          <c:invertIfNegative val="0"/>
          <c:dLbls>
            <c:spPr>
              <a:noFill/>
              <a:ln>
                <a:noFill/>
              </a:ln>
              <a:effectLst/>
            </c:spPr>
            <c:txPr>
              <a:bodyPr wrap="square" lIns="38100" tIns="19050" rIns="38100" bIns="19050" anchor="ctr">
                <a:spAutoFit/>
              </a:bodyPr>
              <a:lstStyle/>
              <a:p>
                <a:pPr>
                  <a:defRPr sz="800"/>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Sayfa1!$K$8:$K$19</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Sayfa1!$M$8:$M$19</c:f>
              <c:numCache>
                <c:formatCode>0.0</c:formatCode>
                <c:ptCount val="12"/>
                <c:pt idx="0">
                  <c:v>12.434230273000001</c:v>
                </c:pt>
                <c:pt idx="1">
                  <c:v>13.148439339999999</c:v>
                </c:pt>
                <c:pt idx="2">
                  <c:v>15.553941373999999</c:v>
                </c:pt>
                <c:pt idx="3">
                  <c:v>13.847243307999999</c:v>
                </c:pt>
                <c:pt idx="4">
                  <c:v>14.257774313999999</c:v>
                </c:pt>
                <c:pt idx="5">
                  <c:v>12.925548424</c:v>
                </c:pt>
                <c:pt idx="6">
                  <c:v>14.049654905999999</c:v>
                </c:pt>
                <c:pt idx="7">
                  <c:v>12.336936276000001</c:v>
                </c:pt>
                <c:pt idx="8">
                  <c:v>14.401013149000001</c:v>
                </c:pt>
                <c:pt idx="9">
                  <c:v>15.684379328</c:v>
                </c:pt>
                <c:pt idx="10">
                  <c:v>15.505674312999998</c:v>
                </c:pt>
                <c:pt idx="11">
                  <c:v>13.878555678</c:v>
                </c:pt>
              </c:numCache>
            </c:numRef>
          </c:val>
          <c:extLst xmlns:c16r2="http://schemas.microsoft.com/office/drawing/2015/06/chart">
            <c:ext xmlns:c16="http://schemas.microsoft.com/office/drawing/2014/chart" uri="{C3380CC4-5D6E-409C-BE32-E72D297353CC}">
              <c16:uniqueId val="{00000001-C29B-418E-9A23-C1FB281846E4}"/>
            </c:ext>
          </c:extLst>
        </c:ser>
        <c:dLbls>
          <c:showLegendKey val="0"/>
          <c:showVal val="1"/>
          <c:showCatName val="0"/>
          <c:showSerName val="0"/>
          <c:showPercent val="0"/>
          <c:showBubbleSize val="0"/>
        </c:dLbls>
        <c:gapWidth val="150"/>
        <c:overlap val="-25"/>
        <c:axId val="79709312"/>
        <c:axId val="79710848"/>
      </c:barChart>
      <c:catAx>
        <c:axId val="79709312"/>
        <c:scaling>
          <c:orientation val="minMax"/>
        </c:scaling>
        <c:delete val="0"/>
        <c:axPos val="b"/>
        <c:numFmt formatCode="General" sourceLinked="0"/>
        <c:majorTickMark val="none"/>
        <c:minorTickMark val="none"/>
        <c:tickLblPos val="nextTo"/>
        <c:crossAx val="79710848"/>
        <c:crosses val="autoZero"/>
        <c:auto val="1"/>
        <c:lblAlgn val="ctr"/>
        <c:lblOffset val="100"/>
        <c:noMultiLvlLbl val="0"/>
      </c:catAx>
      <c:valAx>
        <c:axId val="79710848"/>
        <c:scaling>
          <c:orientation val="minMax"/>
        </c:scaling>
        <c:delete val="1"/>
        <c:axPos val="l"/>
        <c:numFmt formatCode="0.0" sourceLinked="1"/>
        <c:majorTickMark val="out"/>
        <c:minorTickMark val="none"/>
        <c:tickLblPos val="nextTo"/>
        <c:crossAx val="7970931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numRef>
              <c:f>takvim!$B$9:$E$9</c:f>
              <c:numCache>
                <c:formatCode>General</c:formatCode>
                <c:ptCount val="4"/>
                <c:pt idx="0">
                  <c:v>2015</c:v>
                </c:pt>
                <c:pt idx="1">
                  <c:v>2016</c:v>
                </c:pt>
                <c:pt idx="2">
                  <c:v>2017</c:v>
                </c:pt>
                <c:pt idx="3">
                  <c:v>2018</c:v>
                </c:pt>
              </c:numCache>
            </c:numRef>
          </c:cat>
          <c:val>
            <c:numRef>
              <c:f>takvim!$B$10:$E$10</c:f>
              <c:numCache>
                <c:formatCode>0.0</c:formatCode>
                <c:ptCount val="4"/>
                <c:pt idx="0">
                  <c:v>107.61003092878651</c:v>
                </c:pt>
                <c:pt idx="1">
                  <c:v>110.78311145166867</c:v>
                </c:pt>
                <c:pt idx="2">
                  <c:v>121.5355141792744</c:v>
                </c:pt>
                <c:pt idx="3">
                  <c:v>113.67764962104323</c:v>
                </c:pt>
              </c:numCache>
            </c:numRef>
          </c:val>
          <c:smooth val="0"/>
        </c:ser>
        <c:dLbls>
          <c:showLegendKey val="0"/>
          <c:showVal val="0"/>
          <c:showCatName val="0"/>
          <c:showSerName val="0"/>
          <c:showPercent val="0"/>
          <c:showBubbleSize val="0"/>
        </c:dLbls>
        <c:marker val="1"/>
        <c:smooth val="0"/>
        <c:axId val="83044608"/>
        <c:axId val="83062784"/>
      </c:lineChart>
      <c:catAx>
        <c:axId val="83044608"/>
        <c:scaling>
          <c:orientation val="minMax"/>
        </c:scaling>
        <c:delete val="0"/>
        <c:axPos val="b"/>
        <c:numFmt formatCode="General" sourceLinked="1"/>
        <c:majorTickMark val="out"/>
        <c:minorTickMark val="none"/>
        <c:tickLblPos val="nextTo"/>
        <c:crossAx val="83062784"/>
        <c:crosses val="autoZero"/>
        <c:auto val="1"/>
        <c:lblAlgn val="ctr"/>
        <c:lblOffset val="100"/>
        <c:noMultiLvlLbl val="0"/>
      </c:catAx>
      <c:valAx>
        <c:axId val="83062784"/>
        <c:scaling>
          <c:orientation val="minMax"/>
        </c:scaling>
        <c:delete val="0"/>
        <c:axPos val="l"/>
        <c:numFmt formatCode="0.0" sourceLinked="1"/>
        <c:majorTickMark val="out"/>
        <c:minorTickMark val="none"/>
        <c:tickLblPos val="nextTo"/>
        <c:crossAx val="83044608"/>
        <c:crosses val="autoZero"/>
        <c:crossBetween val="between"/>
      </c:valAx>
      <c:spPr>
        <a:ln>
          <a:noFill/>
        </a:ln>
      </c:spPr>
    </c:plotArea>
    <c:plotVisOnly val="1"/>
    <c:dispBlanksAs val="gap"/>
    <c:showDLblsOverMax val="0"/>
  </c:chart>
  <c:txPr>
    <a:bodyPr/>
    <a:lstStyle/>
    <a:p>
      <a:pPr>
        <a:defRPr b="1"/>
      </a:pPr>
      <a:endParaRPr lang="tr-T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'mevsim ve takvim'!$A$2</c:f>
              <c:strCache>
                <c:ptCount val="1"/>
                <c:pt idx="0">
                  <c:v>2017</c:v>
                </c:pt>
              </c:strCache>
            </c:strRef>
          </c:tx>
          <c:marker>
            <c:symbol val="none"/>
          </c:marker>
          <c:dLbls>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105.58962573836543</c:v>
                </c:pt>
                <c:pt idx="1">
                  <c:v>107.36965716629152</c:v>
                </c:pt>
                <c:pt idx="2">
                  <c:v>108.96814033538216</c:v>
                </c:pt>
                <c:pt idx="3">
                  <c:v>111.51372086294474</c:v>
                </c:pt>
                <c:pt idx="4">
                  <c:v>109.92366069772119</c:v>
                </c:pt>
                <c:pt idx="5">
                  <c:v>110.52828228750742</c:v>
                </c:pt>
                <c:pt idx="6">
                  <c:v>111.66986414005815</c:v>
                </c:pt>
                <c:pt idx="7">
                  <c:v>114.88147760551331</c:v>
                </c:pt>
                <c:pt idx="8">
                  <c:v>115.79944175077404</c:v>
                </c:pt>
                <c:pt idx="9">
                  <c:v>116.33324216388088</c:v>
                </c:pt>
                <c:pt idx="10">
                  <c:v>116.96218646688759</c:v>
                </c:pt>
                <c:pt idx="11">
                  <c:v>119.0126687182875</c:v>
                </c:pt>
              </c:numCache>
            </c:numRef>
          </c:val>
          <c:smooth val="0"/>
        </c:ser>
        <c:ser>
          <c:idx val="1"/>
          <c:order val="1"/>
          <c:tx>
            <c:strRef>
              <c:f>'mevsim ve takvim'!$A$3</c:f>
              <c:strCache>
                <c:ptCount val="1"/>
                <c:pt idx="0">
                  <c:v>2018</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dLbl>
            <c:dLbl>
              <c:idx val="1"/>
              <c:dLblPos val="t"/>
              <c:showLegendKey val="0"/>
              <c:showVal val="1"/>
              <c:showCatName val="0"/>
              <c:showSerName val="0"/>
              <c:showPercent val="0"/>
              <c:showBubbleSize val="0"/>
            </c:dLbl>
            <c:dLbl>
              <c:idx val="2"/>
              <c:layout>
                <c:manualLayout>
                  <c:x val="-2.5873221216041367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takvim'!$B$3:$L$3</c:f>
              <c:numCache>
                <c:formatCode>0.0</c:formatCode>
                <c:ptCount val="11"/>
                <c:pt idx="0">
                  <c:v>117.85861254728654</c:v>
                </c:pt>
                <c:pt idx="1">
                  <c:v>117.49328939144583</c:v>
                </c:pt>
                <c:pt idx="2">
                  <c:v>117.5134587658624</c:v>
                </c:pt>
                <c:pt idx="3">
                  <c:v>118.42839471306992</c:v>
                </c:pt>
                <c:pt idx="4">
                  <c:v>116.39361563694297</c:v>
                </c:pt>
                <c:pt idx="5">
                  <c:v>113.67140973464127</c:v>
                </c:pt>
                <c:pt idx="6">
                  <c:v>117.92217303735572</c:v>
                </c:pt>
                <c:pt idx="7">
                  <c:v>116.0491720904032</c:v>
                </c:pt>
                <c:pt idx="8">
                  <c:v>113.18072115366475</c:v>
                </c:pt>
                <c:pt idx="9">
                  <c:v>110.66853358373653</c:v>
                </c:pt>
                <c:pt idx="10">
                  <c:v>110.3900351814743</c:v>
                </c:pt>
              </c:numCache>
            </c:numRef>
          </c:val>
          <c:smooth val="0"/>
        </c:ser>
        <c:dLbls>
          <c:showLegendKey val="0"/>
          <c:showVal val="0"/>
          <c:showCatName val="0"/>
          <c:showSerName val="0"/>
          <c:showPercent val="0"/>
          <c:showBubbleSize val="0"/>
        </c:dLbls>
        <c:marker val="1"/>
        <c:smooth val="0"/>
        <c:axId val="90608768"/>
        <c:axId val="90610304"/>
      </c:lineChart>
      <c:catAx>
        <c:axId val="90608768"/>
        <c:scaling>
          <c:orientation val="minMax"/>
        </c:scaling>
        <c:delete val="0"/>
        <c:axPos val="b"/>
        <c:majorTickMark val="out"/>
        <c:minorTickMark val="none"/>
        <c:tickLblPos val="nextTo"/>
        <c:crossAx val="90610304"/>
        <c:crosses val="autoZero"/>
        <c:auto val="1"/>
        <c:lblAlgn val="ctr"/>
        <c:lblOffset val="100"/>
        <c:noMultiLvlLbl val="0"/>
      </c:catAx>
      <c:valAx>
        <c:axId val="90610304"/>
        <c:scaling>
          <c:orientation val="minMax"/>
        </c:scaling>
        <c:delete val="0"/>
        <c:axPos val="l"/>
        <c:numFmt formatCode="0.0" sourceLinked="1"/>
        <c:majorTickMark val="out"/>
        <c:minorTickMark val="none"/>
        <c:tickLblPos val="nextTo"/>
        <c:crossAx val="90608768"/>
        <c:crosses val="autoZero"/>
        <c:crossBetween val="between"/>
        <c:majorUnit val="5"/>
      </c:valAx>
    </c:plotArea>
    <c:legend>
      <c:legendPos val="b"/>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numRef>
              <c:f>takvim!$B$9:$E$9</c:f>
              <c:numCache>
                <c:formatCode>General</c:formatCode>
                <c:ptCount val="4"/>
                <c:pt idx="0">
                  <c:v>2015</c:v>
                </c:pt>
                <c:pt idx="1">
                  <c:v>2016</c:v>
                </c:pt>
                <c:pt idx="2">
                  <c:v>2017</c:v>
                </c:pt>
                <c:pt idx="3">
                  <c:v>2018</c:v>
                </c:pt>
              </c:numCache>
            </c:numRef>
          </c:cat>
          <c:val>
            <c:numRef>
              <c:f>takvim!$B$10:$E$10</c:f>
              <c:numCache>
                <c:formatCode>0.0</c:formatCode>
                <c:ptCount val="4"/>
                <c:pt idx="0">
                  <c:v>107.61003092878651</c:v>
                </c:pt>
                <c:pt idx="1">
                  <c:v>110.78311145166867</c:v>
                </c:pt>
                <c:pt idx="2">
                  <c:v>121.5355141792744</c:v>
                </c:pt>
                <c:pt idx="3">
                  <c:v>113.67764962104323</c:v>
                </c:pt>
              </c:numCache>
            </c:numRef>
          </c:val>
          <c:smooth val="0"/>
        </c:ser>
        <c:dLbls>
          <c:showLegendKey val="0"/>
          <c:showVal val="0"/>
          <c:showCatName val="0"/>
          <c:showSerName val="0"/>
          <c:showPercent val="0"/>
          <c:showBubbleSize val="0"/>
        </c:dLbls>
        <c:marker val="1"/>
        <c:smooth val="0"/>
        <c:axId val="84155008"/>
        <c:axId val="84173184"/>
      </c:lineChart>
      <c:catAx>
        <c:axId val="84155008"/>
        <c:scaling>
          <c:orientation val="minMax"/>
        </c:scaling>
        <c:delete val="0"/>
        <c:axPos val="b"/>
        <c:numFmt formatCode="General" sourceLinked="1"/>
        <c:majorTickMark val="out"/>
        <c:minorTickMark val="none"/>
        <c:tickLblPos val="nextTo"/>
        <c:crossAx val="84173184"/>
        <c:crosses val="autoZero"/>
        <c:auto val="1"/>
        <c:lblAlgn val="ctr"/>
        <c:lblOffset val="100"/>
        <c:noMultiLvlLbl val="0"/>
      </c:catAx>
      <c:valAx>
        <c:axId val="84173184"/>
        <c:scaling>
          <c:orientation val="minMax"/>
        </c:scaling>
        <c:delete val="0"/>
        <c:axPos val="l"/>
        <c:numFmt formatCode="0.0" sourceLinked="1"/>
        <c:majorTickMark val="out"/>
        <c:minorTickMark val="none"/>
        <c:tickLblPos val="nextTo"/>
        <c:crossAx val="84155008"/>
        <c:crosses val="autoZero"/>
        <c:crossBetween val="between"/>
      </c:valAx>
      <c:spPr>
        <a:ln>
          <a:noFill/>
        </a:ln>
      </c:spPr>
    </c:plotArea>
    <c:plotVisOnly val="1"/>
    <c:dispBlanksAs val="gap"/>
    <c:showDLblsOverMax val="0"/>
  </c:chart>
  <c:txPr>
    <a:bodyPr/>
    <a:lstStyle/>
    <a:p>
      <a:pPr>
        <a:defRPr b="1"/>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Sayfa1!$L$22</c:f>
              <c:strCache>
                <c:ptCount val="1"/>
                <c:pt idx="0">
                  <c:v>2017</c:v>
                </c:pt>
              </c:strCache>
            </c:strRef>
          </c:tx>
          <c:spPr>
            <a:solidFill>
              <a:srgbClr val="002060"/>
            </a:solidFill>
          </c:spPr>
          <c:invertIfNegative val="0"/>
          <c:dLbls>
            <c:spPr>
              <a:noFill/>
              <a:ln>
                <a:noFill/>
              </a:ln>
              <a:effectLst/>
            </c:spPr>
            <c:txPr>
              <a:bodyPr wrap="square" lIns="38100" tIns="19050" rIns="38100" bIns="19050" anchor="ctr">
                <a:spAutoFit/>
              </a:bodyPr>
              <a:lstStyle/>
              <a:p>
                <a:pPr>
                  <a:defRPr sz="800"/>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Sayfa1!$K$23:$K$34</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Sayfa1!$L$23:$L$34</c:f>
              <c:numCache>
                <c:formatCode>0.0</c:formatCode>
                <c:ptCount val="12"/>
                <c:pt idx="0">
                  <c:v>15.591508882999999</c:v>
                </c:pt>
                <c:pt idx="1">
                  <c:v>15.825998294</c:v>
                </c:pt>
                <c:pt idx="2">
                  <c:v>19.017539458999998</c:v>
                </c:pt>
                <c:pt idx="3">
                  <c:v>17.787682717999999</c:v>
                </c:pt>
                <c:pt idx="4">
                  <c:v>20.923446227000003</c:v>
                </c:pt>
                <c:pt idx="5">
                  <c:v>19.173756269000002</c:v>
                </c:pt>
                <c:pt idx="6">
                  <c:v>21.490791008999999</c:v>
                </c:pt>
                <c:pt idx="7">
                  <c:v>19.161714598</c:v>
                </c:pt>
                <c:pt idx="8">
                  <c:v>19.978413420999999</c:v>
                </c:pt>
                <c:pt idx="9">
                  <c:v>21.21724098</c:v>
                </c:pt>
                <c:pt idx="10">
                  <c:v>20.546983405000002</c:v>
                </c:pt>
                <c:pt idx="11">
                  <c:v>23.084575971</c:v>
                </c:pt>
              </c:numCache>
            </c:numRef>
          </c:val>
          <c:extLst xmlns:c16r2="http://schemas.microsoft.com/office/drawing/2015/06/chart">
            <c:ext xmlns:c16="http://schemas.microsoft.com/office/drawing/2014/chart" uri="{C3380CC4-5D6E-409C-BE32-E72D297353CC}">
              <c16:uniqueId val="{00000000-C63C-4E18-AC9A-E124E142ED0B}"/>
            </c:ext>
          </c:extLst>
        </c:ser>
        <c:ser>
          <c:idx val="1"/>
          <c:order val="1"/>
          <c:tx>
            <c:strRef>
              <c:f>Sayfa1!$M$22</c:f>
              <c:strCache>
                <c:ptCount val="1"/>
                <c:pt idx="0">
                  <c:v>2018</c:v>
                </c:pt>
              </c:strCache>
            </c:strRef>
          </c:tx>
          <c:spPr>
            <a:solidFill>
              <a:srgbClr val="C00000"/>
            </a:solidFill>
          </c:spPr>
          <c:invertIfNegative val="0"/>
          <c:dLbls>
            <c:spPr>
              <a:noFill/>
              <a:ln>
                <a:noFill/>
              </a:ln>
              <a:effectLst/>
            </c:spPr>
            <c:txPr>
              <a:bodyPr wrap="square" lIns="38100" tIns="19050" rIns="38100" bIns="19050" anchor="ctr">
                <a:spAutoFit/>
              </a:bodyPr>
              <a:lstStyle/>
              <a:p>
                <a:pPr>
                  <a:defRPr sz="800"/>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Sayfa1!$K$23:$K$34</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Sayfa1!$M$23:$M$34</c:f>
              <c:numCache>
                <c:formatCode>0.0</c:formatCode>
                <c:ptCount val="12"/>
                <c:pt idx="0">
                  <c:v>21.522812751</c:v>
                </c:pt>
                <c:pt idx="1">
                  <c:v>18.936997763000001</c:v>
                </c:pt>
                <c:pt idx="2">
                  <c:v>21.434929306000001</c:v>
                </c:pt>
                <c:pt idx="3">
                  <c:v>20.556713054000003</c:v>
                </c:pt>
                <c:pt idx="4">
                  <c:v>22.063962271000001</c:v>
                </c:pt>
                <c:pt idx="5">
                  <c:v>18.448879782999999</c:v>
                </c:pt>
                <c:pt idx="6">
                  <c:v>20.057748625999999</c:v>
                </c:pt>
                <c:pt idx="7">
                  <c:v>14.803690962999999</c:v>
                </c:pt>
                <c:pt idx="8">
                  <c:v>16.324812628</c:v>
                </c:pt>
                <c:pt idx="9">
                  <c:v>16.174464573999998</c:v>
                </c:pt>
                <c:pt idx="10">
                  <c:v>16.161059943000001</c:v>
                </c:pt>
                <c:pt idx="11">
                  <c:v>16.552966389000002</c:v>
                </c:pt>
              </c:numCache>
            </c:numRef>
          </c:val>
          <c:extLst xmlns:c16r2="http://schemas.microsoft.com/office/drawing/2015/06/chart">
            <c:ext xmlns:c16="http://schemas.microsoft.com/office/drawing/2014/chart" uri="{C3380CC4-5D6E-409C-BE32-E72D297353CC}">
              <c16:uniqueId val="{00000001-C63C-4E18-AC9A-E124E142ED0B}"/>
            </c:ext>
          </c:extLst>
        </c:ser>
        <c:dLbls>
          <c:showLegendKey val="0"/>
          <c:showVal val="1"/>
          <c:showCatName val="0"/>
          <c:showSerName val="0"/>
          <c:showPercent val="0"/>
          <c:showBubbleSize val="0"/>
        </c:dLbls>
        <c:gapWidth val="150"/>
        <c:overlap val="-25"/>
        <c:axId val="79745792"/>
        <c:axId val="79747328"/>
      </c:barChart>
      <c:catAx>
        <c:axId val="79745792"/>
        <c:scaling>
          <c:orientation val="minMax"/>
        </c:scaling>
        <c:delete val="0"/>
        <c:axPos val="b"/>
        <c:numFmt formatCode="General" sourceLinked="0"/>
        <c:majorTickMark val="none"/>
        <c:minorTickMark val="none"/>
        <c:tickLblPos val="nextTo"/>
        <c:crossAx val="79747328"/>
        <c:crosses val="autoZero"/>
        <c:auto val="1"/>
        <c:lblAlgn val="ctr"/>
        <c:lblOffset val="100"/>
        <c:noMultiLvlLbl val="0"/>
      </c:catAx>
      <c:valAx>
        <c:axId val="79747328"/>
        <c:scaling>
          <c:orientation val="minMax"/>
        </c:scaling>
        <c:delete val="1"/>
        <c:axPos val="l"/>
        <c:numFmt formatCode="0.0" sourceLinked="1"/>
        <c:majorTickMark val="out"/>
        <c:minorTickMark val="none"/>
        <c:tickLblPos val="nextTo"/>
        <c:crossAx val="7974579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'mevsim ve takvim'!$A$2</c:f>
              <c:strCache>
                <c:ptCount val="1"/>
                <c:pt idx="0">
                  <c:v>2017</c:v>
                </c:pt>
              </c:strCache>
            </c:strRef>
          </c:tx>
          <c:marker>
            <c:symbol val="none"/>
          </c:marker>
          <c:dLbls>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105.58962573836543</c:v>
                </c:pt>
                <c:pt idx="1">
                  <c:v>107.36965716629152</c:v>
                </c:pt>
                <c:pt idx="2">
                  <c:v>108.96814033538216</c:v>
                </c:pt>
                <c:pt idx="3">
                  <c:v>111.51372086294474</c:v>
                </c:pt>
                <c:pt idx="4">
                  <c:v>109.92366069772119</c:v>
                </c:pt>
                <c:pt idx="5">
                  <c:v>110.52828228750742</c:v>
                </c:pt>
                <c:pt idx="6">
                  <c:v>111.66986414005815</c:v>
                </c:pt>
                <c:pt idx="7">
                  <c:v>114.88147760551331</c:v>
                </c:pt>
                <c:pt idx="8">
                  <c:v>115.79944175077404</c:v>
                </c:pt>
                <c:pt idx="9">
                  <c:v>116.33324216388088</c:v>
                </c:pt>
                <c:pt idx="10">
                  <c:v>116.96218646688759</c:v>
                </c:pt>
                <c:pt idx="11">
                  <c:v>119.0126687182875</c:v>
                </c:pt>
              </c:numCache>
            </c:numRef>
          </c:val>
          <c:smooth val="0"/>
        </c:ser>
        <c:ser>
          <c:idx val="1"/>
          <c:order val="1"/>
          <c:tx>
            <c:strRef>
              <c:f>'mevsim ve takvim'!$A$3</c:f>
              <c:strCache>
                <c:ptCount val="1"/>
                <c:pt idx="0">
                  <c:v>2018</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dLbl>
            <c:dLbl>
              <c:idx val="1"/>
              <c:dLblPos val="t"/>
              <c:showLegendKey val="0"/>
              <c:showVal val="1"/>
              <c:showCatName val="0"/>
              <c:showSerName val="0"/>
              <c:showPercent val="0"/>
              <c:showBubbleSize val="0"/>
            </c:dLbl>
            <c:dLbl>
              <c:idx val="2"/>
              <c:layout>
                <c:manualLayout>
                  <c:x val="-2.5873221216041367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takvim'!$B$3:$L$3</c:f>
              <c:numCache>
                <c:formatCode>0.0</c:formatCode>
                <c:ptCount val="11"/>
                <c:pt idx="0">
                  <c:v>117.85861254728654</c:v>
                </c:pt>
                <c:pt idx="1">
                  <c:v>117.49328939144583</c:v>
                </c:pt>
                <c:pt idx="2">
                  <c:v>117.5134587658624</c:v>
                </c:pt>
                <c:pt idx="3">
                  <c:v>118.42839471306992</c:v>
                </c:pt>
                <c:pt idx="4">
                  <c:v>116.39361563694297</c:v>
                </c:pt>
                <c:pt idx="5">
                  <c:v>113.67140973464127</c:v>
                </c:pt>
                <c:pt idx="6">
                  <c:v>117.92217303735572</c:v>
                </c:pt>
                <c:pt idx="7">
                  <c:v>116.0491720904032</c:v>
                </c:pt>
                <c:pt idx="8">
                  <c:v>113.18072115366475</c:v>
                </c:pt>
                <c:pt idx="9">
                  <c:v>110.66853358373653</c:v>
                </c:pt>
                <c:pt idx="10">
                  <c:v>110.3900351814743</c:v>
                </c:pt>
              </c:numCache>
            </c:numRef>
          </c:val>
          <c:smooth val="0"/>
        </c:ser>
        <c:dLbls>
          <c:showLegendKey val="0"/>
          <c:showVal val="0"/>
          <c:showCatName val="0"/>
          <c:showSerName val="0"/>
          <c:showPercent val="0"/>
          <c:showBubbleSize val="0"/>
        </c:dLbls>
        <c:marker val="1"/>
        <c:smooth val="0"/>
        <c:axId val="34796288"/>
        <c:axId val="34797824"/>
      </c:lineChart>
      <c:catAx>
        <c:axId val="34796288"/>
        <c:scaling>
          <c:orientation val="minMax"/>
        </c:scaling>
        <c:delete val="0"/>
        <c:axPos val="b"/>
        <c:majorTickMark val="out"/>
        <c:minorTickMark val="none"/>
        <c:tickLblPos val="nextTo"/>
        <c:crossAx val="34797824"/>
        <c:crosses val="autoZero"/>
        <c:auto val="1"/>
        <c:lblAlgn val="ctr"/>
        <c:lblOffset val="100"/>
        <c:noMultiLvlLbl val="0"/>
      </c:catAx>
      <c:valAx>
        <c:axId val="34797824"/>
        <c:scaling>
          <c:orientation val="minMax"/>
        </c:scaling>
        <c:delete val="0"/>
        <c:axPos val="l"/>
        <c:numFmt formatCode="0.0" sourceLinked="1"/>
        <c:majorTickMark val="out"/>
        <c:minorTickMark val="none"/>
        <c:tickLblPos val="nextTo"/>
        <c:crossAx val="34796288"/>
        <c:crosses val="autoZero"/>
        <c:crossBetween val="between"/>
        <c:majorUnit val="5"/>
      </c:valAx>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numRef>
              <c:f>takvim!$B$9:$E$9</c:f>
              <c:numCache>
                <c:formatCode>General</c:formatCode>
                <c:ptCount val="4"/>
                <c:pt idx="0">
                  <c:v>2015</c:v>
                </c:pt>
                <c:pt idx="1">
                  <c:v>2016</c:v>
                </c:pt>
                <c:pt idx="2">
                  <c:v>2017</c:v>
                </c:pt>
                <c:pt idx="3">
                  <c:v>2018</c:v>
                </c:pt>
              </c:numCache>
            </c:numRef>
          </c:cat>
          <c:val>
            <c:numRef>
              <c:f>takvim!$B$10:$E$10</c:f>
              <c:numCache>
                <c:formatCode>0.0</c:formatCode>
                <c:ptCount val="4"/>
                <c:pt idx="0">
                  <c:v>107.61003092878651</c:v>
                </c:pt>
                <c:pt idx="1">
                  <c:v>110.78311145166867</c:v>
                </c:pt>
                <c:pt idx="2">
                  <c:v>121.5355141792744</c:v>
                </c:pt>
                <c:pt idx="3">
                  <c:v>113.67764962104323</c:v>
                </c:pt>
              </c:numCache>
            </c:numRef>
          </c:val>
          <c:smooth val="0"/>
        </c:ser>
        <c:dLbls>
          <c:showLegendKey val="0"/>
          <c:showVal val="0"/>
          <c:showCatName val="0"/>
          <c:showSerName val="0"/>
          <c:showPercent val="0"/>
          <c:showBubbleSize val="0"/>
        </c:dLbls>
        <c:marker val="1"/>
        <c:smooth val="0"/>
        <c:axId val="79771904"/>
        <c:axId val="79806464"/>
      </c:lineChart>
      <c:catAx>
        <c:axId val="79771904"/>
        <c:scaling>
          <c:orientation val="minMax"/>
        </c:scaling>
        <c:delete val="0"/>
        <c:axPos val="b"/>
        <c:numFmt formatCode="General" sourceLinked="1"/>
        <c:majorTickMark val="out"/>
        <c:minorTickMark val="none"/>
        <c:tickLblPos val="nextTo"/>
        <c:crossAx val="79806464"/>
        <c:crosses val="autoZero"/>
        <c:auto val="1"/>
        <c:lblAlgn val="ctr"/>
        <c:lblOffset val="100"/>
        <c:noMultiLvlLbl val="0"/>
      </c:catAx>
      <c:valAx>
        <c:axId val="79806464"/>
        <c:scaling>
          <c:orientation val="minMax"/>
        </c:scaling>
        <c:delete val="0"/>
        <c:axPos val="l"/>
        <c:numFmt formatCode="0.0" sourceLinked="1"/>
        <c:majorTickMark val="out"/>
        <c:minorTickMark val="none"/>
        <c:tickLblPos val="nextTo"/>
        <c:crossAx val="79771904"/>
        <c:crosses val="autoZero"/>
        <c:crossBetween val="between"/>
      </c:valAx>
      <c:spPr>
        <a:ln>
          <a:noFill/>
        </a:ln>
      </c:spPr>
    </c:plotArea>
    <c:plotVisOnly val="1"/>
    <c:dispBlanksAs val="gap"/>
    <c:showDLblsOverMax val="0"/>
  </c:chart>
  <c:txPr>
    <a:bodyPr/>
    <a:lstStyle/>
    <a:p>
      <a:pPr>
        <a:defRPr b="1"/>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'mevsim ve takvim'!$A$2</c:f>
              <c:strCache>
                <c:ptCount val="1"/>
                <c:pt idx="0">
                  <c:v>2017</c:v>
                </c:pt>
              </c:strCache>
            </c:strRef>
          </c:tx>
          <c:marker>
            <c:symbol val="none"/>
          </c:marker>
          <c:dLbls>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105.58962573836543</c:v>
                </c:pt>
                <c:pt idx="1">
                  <c:v>107.36965716629152</c:v>
                </c:pt>
                <c:pt idx="2">
                  <c:v>108.96814033538216</c:v>
                </c:pt>
                <c:pt idx="3">
                  <c:v>111.51372086294474</c:v>
                </c:pt>
                <c:pt idx="4">
                  <c:v>109.92366069772119</c:v>
                </c:pt>
                <c:pt idx="5">
                  <c:v>110.52828228750742</c:v>
                </c:pt>
                <c:pt idx="6">
                  <c:v>111.66986414005815</c:v>
                </c:pt>
                <c:pt idx="7">
                  <c:v>114.88147760551331</c:v>
                </c:pt>
                <c:pt idx="8">
                  <c:v>115.79944175077404</c:v>
                </c:pt>
                <c:pt idx="9">
                  <c:v>116.33324216388088</c:v>
                </c:pt>
                <c:pt idx="10">
                  <c:v>116.96218646688759</c:v>
                </c:pt>
                <c:pt idx="11">
                  <c:v>119.0126687182875</c:v>
                </c:pt>
              </c:numCache>
            </c:numRef>
          </c:val>
          <c:smooth val="0"/>
        </c:ser>
        <c:ser>
          <c:idx val="1"/>
          <c:order val="1"/>
          <c:tx>
            <c:strRef>
              <c:f>'mevsim ve takvim'!$A$3</c:f>
              <c:strCache>
                <c:ptCount val="1"/>
                <c:pt idx="0">
                  <c:v>2018</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dLbl>
            <c:dLbl>
              <c:idx val="1"/>
              <c:dLblPos val="t"/>
              <c:showLegendKey val="0"/>
              <c:showVal val="1"/>
              <c:showCatName val="0"/>
              <c:showSerName val="0"/>
              <c:showPercent val="0"/>
              <c:showBubbleSize val="0"/>
            </c:dLbl>
            <c:dLbl>
              <c:idx val="2"/>
              <c:layout>
                <c:manualLayout>
                  <c:x val="-2.5873221216041367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takvim'!$B$3:$L$3</c:f>
              <c:numCache>
                <c:formatCode>0.0</c:formatCode>
                <c:ptCount val="11"/>
                <c:pt idx="0">
                  <c:v>117.85861254728654</c:v>
                </c:pt>
                <c:pt idx="1">
                  <c:v>117.49328939144583</c:v>
                </c:pt>
                <c:pt idx="2">
                  <c:v>117.5134587658624</c:v>
                </c:pt>
                <c:pt idx="3">
                  <c:v>118.42839471306992</c:v>
                </c:pt>
                <c:pt idx="4">
                  <c:v>116.39361563694297</c:v>
                </c:pt>
                <c:pt idx="5">
                  <c:v>113.67140973464127</c:v>
                </c:pt>
                <c:pt idx="6">
                  <c:v>117.92217303735572</c:v>
                </c:pt>
                <c:pt idx="7">
                  <c:v>116.0491720904032</c:v>
                </c:pt>
                <c:pt idx="8">
                  <c:v>113.18072115366475</c:v>
                </c:pt>
                <c:pt idx="9">
                  <c:v>110.66853358373653</c:v>
                </c:pt>
                <c:pt idx="10">
                  <c:v>110.3900351814743</c:v>
                </c:pt>
              </c:numCache>
            </c:numRef>
          </c:val>
          <c:smooth val="0"/>
        </c:ser>
        <c:dLbls>
          <c:showLegendKey val="0"/>
          <c:showVal val="0"/>
          <c:showCatName val="0"/>
          <c:showSerName val="0"/>
          <c:showPercent val="0"/>
          <c:showBubbleSize val="0"/>
        </c:dLbls>
        <c:marker val="1"/>
        <c:smooth val="0"/>
        <c:axId val="81306368"/>
        <c:axId val="81307904"/>
      </c:lineChart>
      <c:catAx>
        <c:axId val="81306368"/>
        <c:scaling>
          <c:orientation val="minMax"/>
        </c:scaling>
        <c:delete val="0"/>
        <c:axPos val="b"/>
        <c:majorTickMark val="out"/>
        <c:minorTickMark val="none"/>
        <c:tickLblPos val="nextTo"/>
        <c:crossAx val="81307904"/>
        <c:crosses val="autoZero"/>
        <c:auto val="1"/>
        <c:lblAlgn val="ctr"/>
        <c:lblOffset val="100"/>
        <c:noMultiLvlLbl val="0"/>
      </c:catAx>
      <c:valAx>
        <c:axId val="81307904"/>
        <c:scaling>
          <c:orientation val="minMax"/>
        </c:scaling>
        <c:delete val="0"/>
        <c:axPos val="l"/>
        <c:numFmt formatCode="0.0" sourceLinked="1"/>
        <c:majorTickMark val="out"/>
        <c:minorTickMark val="none"/>
        <c:tickLblPos val="nextTo"/>
        <c:crossAx val="81306368"/>
        <c:crosses val="autoZero"/>
        <c:crossBetween val="between"/>
        <c:majorUnit val="5"/>
      </c:valAx>
    </c:plotArea>
    <c:legend>
      <c:legendPos val="b"/>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numRef>
              <c:f>takvim!$B$9:$E$9</c:f>
              <c:numCache>
                <c:formatCode>General</c:formatCode>
                <c:ptCount val="4"/>
                <c:pt idx="0">
                  <c:v>2015</c:v>
                </c:pt>
                <c:pt idx="1">
                  <c:v>2016</c:v>
                </c:pt>
                <c:pt idx="2">
                  <c:v>2017</c:v>
                </c:pt>
                <c:pt idx="3">
                  <c:v>2018</c:v>
                </c:pt>
              </c:numCache>
            </c:numRef>
          </c:cat>
          <c:val>
            <c:numRef>
              <c:f>takvim!$B$10:$E$10</c:f>
              <c:numCache>
                <c:formatCode>0.0</c:formatCode>
                <c:ptCount val="4"/>
                <c:pt idx="0">
                  <c:v>107.61003092878651</c:v>
                </c:pt>
                <c:pt idx="1">
                  <c:v>110.78311145166867</c:v>
                </c:pt>
                <c:pt idx="2">
                  <c:v>121.5355141792744</c:v>
                </c:pt>
                <c:pt idx="3">
                  <c:v>113.67764962104323</c:v>
                </c:pt>
              </c:numCache>
            </c:numRef>
          </c:val>
          <c:smooth val="0"/>
        </c:ser>
        <c:dLbls>
          <c:showLegendKey val="0"/>
          <c:showVal val="0"/>
          <c:showCatName val="0"/>
          <c:showSerName val="0"/>
          <c:showPercent val="0"/>
          <c:showBubbleSize val="0"/>
        </c:dLbls>
        <c:marker val="1"/>
        <c:smooth val="0"/>
        <c:axId val="81221888"/>
        <c:axId val="81227776"/>
      </c:lineChart>
      <c:catAx>
        <c:axId val="81221888"/>
        <c:scaling>
          <c:orientation val="minMax"/>
        </c:scaling>
        <c:delete val="0"/>
        <c:axPos val="b"/>
        <c:numFmt formatCode="General" sourceLinked="1"/>
        <c:majorTickMark val="out"/>
        <c:minorTickMark val="none"/>
        <c:tickLblPos val="nextTo"/>
        <c:crossAx val="81227776"/>
        <c:crosses val="autoZero"/>
        <c:auto val="1"/>
        <c:lblAlgn val="ctr"/>
        <c:lblOffset val="100"/>
        <c:noMultiLvlLbl val="0"/>
      </c:catAx>
      <c:valAx>
        <c:axId val="81227776"/>
        <c:scaling>
          <c:orientation val="minMax"/>
        </c:scaling>
        <c:delete val="0"/>
        <c:axPos val="l"/>
        <c:numFmt formatCode="0.0" sourceLinked="1"/>
        <c:majorTickMark val="out"/>
        <c:minorTickMark val="none"/>
        <c:tickLblPos val="nextTo"/>
        <c:crossAx val="81221888"/>
        <c:crosses val="autoZero"/>
        <c:crossBetween val="between"/>
      </c:valAx>
      <c:spPr>
        <a:ln>
          <a:noFill/>
        </a:ln>
      </c:spPr>
    </c:plotArea>
    <c:plotVisOnly val="1"/>
    <c:dispBlanksAs val="gap"/>
    <c:showDLblsOverMax val="0"/>
  </c:chart>
  <c:txPr>
    <a:bodyPr/>
    <a:lstStyle/>
    <a:p>
      <a:pPr>
        <a:defRPr b="1"/>
      </a:pPr>
      <a:endParaRPr lang="tr-T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'mevsim ve takvim'!$A$2</c:f>
              <c:strCache>
                <c:ptCount val="1"/>
                <c:pt idx="0">
                  <c:v>2017</c:v>
                </c:pt>
              </c:strCache>
            </c:strRef>
          </c:tx>
          <c:marker>
            <c:symbol val="none"/>
          </c:marker>
          <c:dLbls>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105.58962573836543</c:v>
                </c:pt>
                <c:pt idx="1">
                  <c:v>107.36965716629152</c:v>
                </c:pt>
                <c:pt idx="2">
                  <c:v>108.96814033538216</c:v>
                </c:pt>
                <c:pt idx="3">
                  <c:v>111.51372086294474</c:v>
                </c:pt>
                <c:pt idx="4">
                  <c:v>109.92366069772119</c:v>
                </c:pt>
                <c:pt idx="5">
                  <c:v>110.52828228750742</c:v>
                </c:pt>
                <c:pt idx="6">
                  <c:v>111.66986414005815</c:v>
                </c:pt>
                <c:pt idx="7">
                  <c:v>114.88147760551331</c:v>
                </c:pt>
                <c:pt idx="8">
                  <c:v>115.79944175077404</c:v>
                </c:pt>
                <c:pt idx="9">
                  <c:v>116.33324216388088</c:v>
                </c:pt>
                <c:pt idx="10">
                  <c:v>116.96218646688759</c:v>
                </c:pt>
                <c:pt idx="11">
                  <c:v>119.0126687182875</c:v>
                </c:pt>
              </c:numCache>
            </c:numRef>
          </c:val>
          <c:smooth val="0"/>
        </c:ser>
        <c:ser>
          <c:idx val="1"/>
          <c:order val="1"/>
          <c:tx>
            <c:strRef>
              <c:f>'mevsim ve takvim'!$A$3</c:f>
              <c:strCache>
                <c:ptCount val="1"/>
                <c:pt idx="0">
                  <c:v>2018</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dLbl>
            <c:dLbl>
              <c:idx val="1"/>
              <c:dLblPos val="t"/>
              <c:showLegendKey val="0"/>
              <c:showVal val="1"/>
              <c:showCatName val="0"/>
              <c:showSerName val="0"/>
              <c:showPercent val="0"/>
              <c:showBubbleSize val="0"/>
            </c:dLbl>
            <c:dLbl>
              <c:idx val="2"/>
              <c:layout>
                <c:manualLayout>
                  <c:x val="-2.5873221216041367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takvim'!$B$3:$L$3</c:f>
              <c:numCache>
                <c:formatCode>0.0</c:formatCode>
                <c:ptCount val="11"/>
                <c:pt idx="0">
                  <c:v>117.85861254728654</c:v>
                </c:pt>
                <c:pt idx="1">
                  <c:v>117.49328939144583</c:v>
                </c:pt>
                <c:pt idx="2">
                  <c:v>117.5134587658624</c:v>
                </c:pt>
                <c:pt idx="3">
                  <c:v>118.42839471306992</c:v>
                </c:pt>
                <c:pt idx="4">
                  <c:v>116.39361563694297</c:v>
                </c:pt>
                <c:pt idx="5">
                  <c:v>113.67140973464127</c:v>
                </c:pt>
                <c:pt idx="6">
                  <c:v>117.92217303735572</c:v>
                </c:pt>
                <c:pt idx="7">
                  <c:v>116.0491720904032</c:v>
                </c:pt>
                <c:pt idx="8">
                  <c:v>113.18072115366475</c:v>
                </c:pt>
                <c:pt idx="9">
                  <c:v>110.66853358373653</c:v>
                </c:pt>
                <c:pt idx="10">
                  <c:v>110.3900351814743</c:v>
                </c:pt>
              </c:numCache>
            </c:numRef>
          </c:val>
          <c:smooth val="0"/>
        </c:ser>
        <c:dLbls>
          <c:showLegendKey val="0"/>
          <c:showVal val="0"/>
          <c:showCatName val="0"/>
          <c:showSerName val="0"/>
          <c:showPercent val="0"/>
          <c:showBubbleSize val="0"/>
        </c:dLbls>
        <c:marker val="1"/>
        <c:smooth val="0"/>
        <c:axId val="82391808"/>
        <c:axId val="82393344"/>
      </c:lineChart>
      <c:catAx>
        <c:axId val="82391808"/>
        <c:scaling>
          <c:orientation val="minMax"/>
        </c:scaling>
        <c:delete val="0"/>
        <c:axPos val="b"/>
        <c:majorTickMark val="out"/>
        <c:minorTickMark val="none"/>
        <c:tickLblPos val="nextTo"/>
        <c:crossAx val="82393344"/>
        <c:crosses val="autoZero"/>
        <c:auto val="1"/>
        <c:lblAlgn val="ctr"/>
        <c:lblOffset val="100"/>
        <c:noMultiLvlLbl val="0"/>
      </c:catAx>
      <c:valAx>
        <c:axId val="82393344"/>
        <c:scaling>
          <c:orientation val="minMax"/>
        </c:scaling>
        <c:delete val="0"/>
        <c:axPos val="l"/>
        <c:numFmt formatCode="0.0" sourceLinked="1"/>
        <c:majorTickMark val="out"/>
        <c:minorTickMark val="none"/>
        <c:tickLblPos val="nextTo"/>
        <c:crossAx val="82391808"/>
        <c:crosses val="autoZero"/>
        <c:crossBetween val="between"/>
        <c:majorUnit val="5"/>
      </c:valAx>
    </c:plotArea>
    <c:legend>
      <c:legendPos val="b"/>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numRef>
              <c:f>takvim!$B$9:$E$9</c:f>
              <c:numCache>
                <c:formatCode>General</c:formatCode>
                <c:ptCount val="4"/>
                <c:pt idx="0">
                  <c:v>2015</c:v>
                </c:pt>
                <c:pt idx="1">
                  <c:v>2016</c:v>
                </c:pt>
                <c:pt idx="2">
                  <c:v>2017</c:v>
                </c:pt>
                <c:pt idx="3">
                  <c:v>2018</c:v>
                </c:pt>
              </c:numCache>
            </c:numRef>
          </c:cat>
          <c:val>
            <c:numRef>
              <c:f>takvim!$B$10:$E$10</c:f>
              <c:numCache>
                <c:formatCode>0.0</c:formatCode>
                <c:ptCount val="4"/>
                <c:pt idx="0">
                  <c:v>107.61003092878651</c:v>
                </c:pt>
                <c:pt idx="1">
                  <c:v>110.78311145166867</c:v>
                </c:pt>
                <c:pt idx="2">
                  <c:v>121.5355141792744</c:v>
                </c:pt>
                <c:pt idx="3">
                  <c:v>113.67764962104323</c:v>
                </c:pt>
              </c:numCache>
            </c:numRef>
          </c:val>
          <c:smooth val="0"/>
        </c:ser>
        <c:dLbls>
          <c:showLegendKey val="0"/>
          <c:showVal val="0"/>
          <c:showCatName val="0"/>
          <c:showSerName val="0"/>
          <c:showPercent val="0"/>
          <c:showBubbleSize val="0"/>
        </c:dLbls>
        <c:marker val="1"/>
        <c:smooth val="0"/>
        <c:axId val="82409728"/>
        <c:axId val="82419712"/>
      </c:lineChart>
      <c:catAx>
        <c:axId val="82409728"/>
        <c:scaling>
          <c:orientation val="minMax"/>
        </c:scaling>
        <c:delete val="0"/>
        <c:axPos val="b"/>
        <c:numFmt formatCode="General" sourceLinked="1"/>
        <c:majorTickMark val="out"/>
        <c:minorTickMark val="none"/>
        <c:tickLblPos val="nextTo"/>
        <c:crossAx val="82419712"/>
        <c:crosses val="autoZero"/>
        <c:auto val="1"/>
        <c:lblAlgn val="ctr"/>
        <c:lblOffset val="100"/>
        <c:noMultiLvlLbl val="0"/>
      </c:catAx>
      <c:valAx>
        <c:axId val="82419712"/>
        <c:scaling>
          <c:orientation val="minMax"/>
        </c:scaling>
        <c:delete val="0"/>
        <c:axPos val="l"/>
        <c:numFmt formatCode="0.0" sourceLinked="1"/>
        <c:majorTickMark val="out"/>
        <c:minorTickMark val="none"/>
        <c:tickLblPos val="nextTo"/>
        <c:crossAx val="82409728"/>
        <c:crosses val="autoZero"/>
        <c:crossBetween val="between"/>
      </c:valAx>
      <c:spPr>
        <a:ln>
          <a:noFill/>
        </a:ln>
      </c:spPr>
    </c:plotArea>
    <c:plotVisOnly val="1"/>
    <c:dispBlanksAs val="gap"/>
    <c:showDLblsOverMax val="0"/>
  </c:chart>
  <c:txPr>
    <a:bodyPr/>
    <a:lstStyle/>
    <a:p>
      <a:pPr>
        <a:defRPr b="1"/>
      </a:pPr>
      <a:endParaRPr lang="tr-TR"/>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'mevsim ve takvim'!$A$2</c:f>
              <c:strCache>
                <c:ptCount val="1"/>
                <c:pt idx="0">
                  <c:v>2017</c:v>
                </c:pt>
              </c:strCache>
            </c:strRef>
          </c:tx>
          <c:marker>
            <c:symbol val="none"/>
          </c:marker>
          <c:dLbls>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105.58962573836543</c:v>
                </c:pt>
                <c:pt idx="1">
                  <c:v>107.36965716629152</c:v>
                </c:pt>
                <c:pt idx="2">
                  <c:v>108.96814033538216</c:v>
                </c:pt>
                <c:pt idx="3">
                  <c:v>111.51372086294474</c:v>
                </c:pt>
                <c:pt idx="4">
                  <c:v>109.92366069772119</c:v>
                </c:pt>
                <c:pt idx="5">
                  <c:v>110.52828228750742</c:v>
                </c:pt>
                <c:pt idx="6">
                  <c:v>111.66986414005815</c:v>
                </c:pt>
                <c:pt idx="7">
                  <c:v>114.88147760551331</c:v>
                </c:pt>
                <c:pt idx="8">
                  <c:v>115.79944175077404</c:v>
                </c:pt>
                <c:pt idx="9">
                  <c:v>116.33324216388088</c:v>
                </c:pt>
                <c:pt idx="10">
                  <c:v>116.96218646688759</c:v>
                </c:pt>
                <c:pt idx="11">
                  <c:v>119.0126687182875</c:v>
                </c:pt>
              </c:numCache>
            </c:numRef>
          </c:val>
          <c:smooth val="0"/>
        </c:ser>
        <c:ser>
          <c:idx val="1"/>
          <c:order val="1"/>
          <c:tx>
            <c:strRef>
              <c:f>'mevsim ve takvim'!$A$3</c:f>
              <c:strCache>
                <c:ptCount val="1"/>
                <c:pt idx="0">
                  <c:v>2018</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dLbl>
            <c:dLbl>
              <c:idx val="1"/>
              <c:dLblPos val="t"/>
              <c:showLegendKey val="0"/>
              <c:showVal val="1"/>
              <c:showCatName val="0"/>
              <c:showSerName val="0"/>
              <c:showPercent val="0"/>
              <c:showBubbleSize val="0"/>
            </c:dLbl>
            <c:dLbl>
              <c:idx val="2"/>
              <c:layout>
                <c:manualLayout>
                  <c:x val="-2.5873221216041367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takvim'!$B$3:$L$3</c:f>
              <c:numCache>
                <c:formatCode>0.0</c:formatCode>
                <c:ptCount val="11"/>
                <c:pt idx="0">
                  <c:v>117.85861254728654</c:v>
                </c:pt>
                <c:pt idx="1">
                  <c:v>117.49328939144583</c:v>
                </c:pt>
                <c:pt idx="2">
                  <c:v>117.5134587658624</c:v>
                </c:pt>
                <c:pt idx="3">
                  <c:v>118.42839471306992</c:v>
                </c:pt>
                <c:pt idx="4">
                  <c:v>116.39361563694297</c:v>
                </c:pt>
                <c:pt idx="5">
                  <c:v>113.67140973464127</c:v>
                </c:pt>
                <c:pt idx="6">
                  <c:v>117.92217303735572</c:v>
                </c:pt>
                <c:pt idx="7">
                  <c:v>116.0491720904032</c:v>
                </c:pt>
                <c:pt idx="8">
                  <c:v>113.18072115366475</c:v>
                </c:pt>
                <c:pt idx="9">
                  <c:v>110.66853358373653</c:v>
                </c:pt>
                <c:pt idx="10">
                  <c:v>110.3900351814743</c:v>
                </c:pt>
              </c:numCache>
            </c:numRef>
          </c:val>
          <c:smooth val="0"/>
        </c:ser>
        <c:dLbls>
          <c:showLegendKey val="0"/>
          <c:showVal val="0"/>
          <c:showCatName val="0"/>
          <c:showSerName val="0"/>
          <c:showPercent val="0"/>
          <c:showBubbleSize val="0"/>
        </c:dLbls>
        <c:marker val="1"/>
        <c:smooth val="0"/>
        <c:axId val="78566144"/>
        <c:axId val="78567680"/>
      </c:lineChart>
      <c:catAx>
        <c:axId val="78566144"/>
        <c:scaling>
          <c:orientation val="minMax"/>
        </c:scaling>
        <c:delete val="0"/>
        <c:axPos val="b"/>
        <c:majorTickMark val="out"/>
        <c:minorTickMark val="none"/>
        <c:tickLblPos val="nextTo"/>
        <c:crossAx val="78567680"/>
        <c:crosses val="autoZero"/>
        <c:auto val="1"/>
        <c:lblAlgn val="ctr"/>
        <c:lblOffset val="100"/>
        <c:noMultiLvlLbl val="0"/>
      </c:catAx>
      <c:valAx>
        <c:axId val="78567680"/>
        <c:scaling>
          <c:orientation val="minMax"/>
        </c:scaling>
        <c:delete val="0"/>
        <c:axPos val="l"/>
        <c:numFmt formatCode="0.0" sourceLinked="1"/>
        <c:majorTickMark val="out"/>
        <c:minorTickMark val="none"/>
        <c:tickLblPos val="nextTo"/>
        <c:crossAx val="78566144"/>
        <c:crosses val="autoZero"/>
        <c:crossBetween val="between"/>
        <c:majorUnit val="5"/>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28</Pages>
  <Words>4811</Words>
  <Characters>27423</Characters>
  <Application>Microsoft Office Word</Application>
  <DocSecurity>0</DocSecurity>
  <Lines>228</Lines>
  <Paragraphs>64</Paragraphs>
  <ScaleCrop>false</ScaleCrop>
  <Company>Hewlett-Packard Company</Company>
  <LinksUpToDate>false</LinksUpToDate>
  <CharactersWithSpaces>32170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2019-04-19T06:47:00Z</dcterms:created>
  <dcterms:modified xsi:type="dcterms:W3CDTF">2019-04-19T07:17:00Z</dcterms:modified>
</cp:coreProperties>
</file>