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drawings/drawing1.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80" w:rsidRDefault="00833A80" w:rsidP="00833A80">
      <w:bookmarkStart w:id="0" w:name="_GoBack"/>
      <w:bookmarkEnd w:id="0"/>
    </w:p>
    <w:p w:rsidR="00833A80" w:rsidRDefault="00833A80" w:rsidP="00833A80">
      <w:pPr>
        <w:rPr>
          <w:rFonts w:ascii="Times New Roman" w:hAnsi="Times New Roman" w:cs="Times New Roman"/>
          <w:b/>
          <w:noProof/>
          <w:sz w:val="24"/>
          <w:szCs w:val="24"/>
        </w:rPr>
      </w:pPr>
    </w:p>
    <w:p w:rsidR="00833A80" w:rsidRDefault="00833A80" w:rsidP="00833A80">
      <w:pPr>
        <w:rPr>
          <w:rFonts w:ascii="Times New Roman" w:hAnsi="Times New Roman" w:cs="Times New Roman"/>
          <w:b/>
          <w:noProof/>
          <w:sz w:val="24"/>
          <w:szCs w:val="24"/>
        </w:rPr>
      </w:pPr>
    </w:p>
    <w:p w:rsidR="00833A80" w:rsidRDefault="00833A80" w:rsidP="00833A80">
      <w:pPr>
        <w:rPr>
          <w:rFonts w:ascii="Times New Roman" w:hAnsi="Times New Roman" w:cs="Times New Roman"/>
          <w:b/>
          <w:noProof/>
          <w:sz w:val="24"/>
          <w:szCs w:val="24"/>
        </w:rPr>
      </w:pPr>
    </w:p>
    <w:p w:rsidR="00833A80" w:rsidRDefault="00833A80" w:rsidP="00833A80">
      <w:pPr>
        <w:rPr>
          <w:rFonts w:ascii="Times New Roman" w:hAnsi="Times New Roman" w:cs="Times New Roman"/>
          <w:b/>
          <w:noProof/>
          <w:sz w:val="24"/>
          <w:szCs w:val="24"/>
        </w:rPr>
      </w:pPr>
    </w:p>
    <w:p w:rsidR="00833A80" w:rsidRDefault="00815A92" w:rsidP="00833A80">
      <w:r>
        <w:rPr>
          <w:rFonts w:ascii="Times New Roman" w:hAnsi="Times New Roman" w:cs="Times New Roman"/>
          <w:b/>
          <w:noProof/>
          <w:sz w:val="24"/>
          <w:szCs w:val="24"/>
        </w:rPr>
        <w:drawing>
          <wp:inline distT="0" distB="0" distL="0" distR="0" wp14:anchorId="5F8D85B5" wp14:editId="534F69FD">
            <wp:extent cx="5760720" cy="1292273"/>
            <wp:effectExtent l="0" t="0" r="0" b="3175"/>
            <wp:docPr id="10" name="Resim 1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92273"/>
                    </a:xfrm>
                    <a:prstGeom prst="rect">
                      <a:avLst/>
                    </a:prstGeom>
                    <a:noFill/>
                    <a:ln>
                      <a:noFill/>
                    </a:ln>
                  </pic:spPr>
                </pic:pic>
              </a:graphicData>
            </a:graphic>
          </wp:inline>
        </w:drawing>
      </w:r>
    </w:p>
    <w:p w:rsidR="00833A80" w:rsidRDefault="00833A80" w:rsidP="00833A80"/>
    <w:p w:rsidR="00833A80" w:rsidRDefault="00833A80" w:rsidP="00833A80">
      <w:pPr>
        <w:jc w:val="center"/>
        <w:rPr>
          <w:rFonts w:ascii="Times New Roman" w:hAnsi="Times New Roman" w:cs="Times New Roman"/>
          <w:b/>
          <w:color w:val="1F4E79" w:themeColor="accent1" w:themeShade="80"/>
          <w:sz w:val="40"/>
          <w:szCs w:val="40"/>
        </w:rPr>
      </w:pPr>
    </w:p>
    <w:p w:rsidR="00833A80" w:rsidRDefault="00833A80" w:rsidP="00833A80">
      <w:pPr>
        <w:jc w:val="center"/>
        <w:rPr>
          <w:rFonts w:ascii="Times New Roman" w:hAnsi="Times New Roman" w:cs="Times New Roman"/>
          <w:b/>
          <w:color w:val="1F4E79" w:themeColor="accent1" w:themeShade="80"/>
          <w:sz w:val="40"/>
          <w:szCs w:val="40"/>
        </w:rPr>
      </w:pPr>
    </w:p>
    <w:p w:rsidR="001D1AD8" w:rsidRDefault="006A5436" w:rsidP="00833A80">
      <w:pPr>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M</w:t>
      </w:r>
      <w:r w:rsidR="001D1AD8">
        <w:rPr>
          <w:rFonts w:ascii="Times New Roman" w:hAnsi="Times New Roman" w:cs="Times New Roman"/>
          <w:b/>
          <w:color w:val="1F4E79" w:themeColor="accent1" w:themeShade="80"/>
          <w:sz w:val="40"/>
          <w:szCs w:val="40"/>
        </w:rPr>
        <w:t>ayıs</w:t>
      </w:r>
      <w:r w:rsidR="000B7966">
        <w:rPr>
          <w:rFonts w:ascii="Times New Roman" w:hAnsi="Times New Roman" w:cs="Times New Roman"/>
          <w:b/>
          <w:color w:val="1F4E79" w:themeColor="accent1" w:themeShade="80"/>
          <w:sz w:val="40"/>
          <w:szCs w:val="40"/>
        </w:rPr>
        <w:t xml:space="preserve"> </w:t>
      </w:r>
      <w:r w:rsidR="001D1AD8">
        <w:rPr>
          <w:rFonts w:ascii="Times New Roman" w:hAnsi="Times New Roman" w:cs="Times New Roman"/>
          <w:b/>
          <w:color w:val="1F4E79" w:themeColor="accent1" w:themeShade="80"/>
          <w:sz w:val="40"/>
          <w:szCs w:val="40"/>
        </w:rPr>
        <w:t>-</w:t>
      </w:r>
      <w:r w:rsidR="000B7966">
        <w:rPr>
          <w:rFonts w:ascii="Times New Roman" w:hAnsi="Times New Roman" w:cs="Times New Roman"/>
          <w:b/>
          <w:color w:val="1F4E79" w:themeColor="accent1" w:themeShade="80"/>
          <w:sz w:val="40"/>
          <w:szCs w:val="40"/>
        </w:rPr>
        <w:t xml:space="preserve"> </w:t>
      </w:r>
      <w:r w:rsidR="001D1AD8">
        <w:rPr>
          <w:rFonts w:ascii="Times New Roman" w:hAnsi="Times New Roman" w:cs="Times New Roman"/>
          <w:b/>
          <w:color w:val="1F4E79" w:themeColor="accent1" w:themeShade="80"/>
          <w:sz w:val="40"/>
          <w:szCs w:val="40"/>
        </w:rPr>
        <w:t>Haziran</w:t>
      </w:r>
    </w:p>
    <w:p w:rsidR="00833A80" w:rsidRDefault="006A5436" w:rsidP="00833A80">
      <w:pPr>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 xml:space="preserve"> </w:t>
      </w:r>
      <w:r w:rsidR="00833A80">
        <w:rPr>
          <w:rFonts w:ascii="Times New Roman" w:hAnsi="Times New Roman" w:cs="Times New Roman"/>
          <w:b/>
          <w:color w:val="1F4E79" w:themeColor="accent1" w:themeShade="80"/>
          <w:sz w:val="40"/>
          <w:szCs w:val="40"/>
        </w:rPr>
        <w:t>201</w:t>
      </w:r>
      <w:r>
        <w:rPr>
          <w:rFonts w:ascii="Times New Roman" w:hAnsi="Times New Roman" w:cs="Times New Roman"/>
          <w:b/>
          <w:color w:val="1F4E79" w:themeColor="accent1" w:themeShade="80"/>
          <w:sz w:val="40"/>
          <w:szCs w:val="40"/>
        </w:rPr>
        <w:t>9</w:t>
      </w:r>
      <w:r w:rsidR="00833A80">
        <w:rPr>
          <w:rFonts w:ascii="Times New Roman" w:hAnsi="Times New Roman" w:cs="Times New Roman"/>
          <w:b/>
          <w:color w:val="1F4E79" w:themeColor="accent1" w:themeShade="80"/>
          <w:sz w:val="40"/>
          <w:szCs w:val="40"/>
        </w:rPr>
        <w:t xml:space="preserve"> </w:t>
      </w:r>
      <w:r>
        <w:rPr>
          <w:rFonts w:ascii="Times New Roman" w:hAnsi="Times New Roman" w:cs="Times New Roman"/>
          <w:b/>
          <w:color w:val="1F4E79" w:themeColor="accent1" w:themeShade="80"/>
          <w:sz w:val="40"/>
          <w:szCs w:val="40"/>
        </w:rPr>
        <w:t>Ait Veriler</w:t>
      </w:r>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1D1AD8" w:rsidRDefault="001D1AD8" w:rsidP="00833A80">
      <w:pPr>
        <w:jc w:val="center"/>
        <w:rPr>
          <w:rFonts w:ascii="Times New Roman" w:hAnsi="Times New Roman" w:cs="Times New Roman"/>
          <w:b/>
          <w:color w:val="1F4E79" w:themeColor="accent1" w:themeShade="80"/>
          <w:sz w:val="40"/>
          <w:szCs w:val="40"/>
        </w:rPr>
      </w:pPr>
    </w:p>
    <w:p w:rsidR="001D1AD8" w:rsidRDefault="001D1AD8">
      <w:pPr>
        <w:spacing w:after="160" w:line="259" w:lineRule="auto"/>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br w:type="page"/>
      </w: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1D1AD8" w:rsidTr="00E0737C">
        <w:trPr>
          <w:trHeight w:val="915"/>
        </w:trPr>
        <w:tc>
          <w:tcPr>
            <w:tcW w:w="9077" w:type="dxa"/>
            <w:vAlign w:val="center"/>
          </w:tcPr>
          <w:p w:rsidR="001D1AD8" w:rsidRPr="001D1AD8" w:rsidRDefault="001D1AD8" w:rsidP="001D1AD8">
            <w:pPr>
              <w:pStyle w:val="stbilgi"/>
              <w:rPr>
                <w:rFonts w:asciiTheme="majorHAnsi" w:eastAsiaTheme="majorEastAsia" w:hAnsiTheme="majorHAnsi" w:cstheme="majorBidi"/>
                <w:sz w:val="36"/>
                <w:szCs w:val="36"/>
              </w:rPr>
            </w:pPr>
            <w:r>
              <w:rPr>
                <w:rFonts w:asciiTheme="majorHAnsi" w:eastAsiaTheme="majorEastAsia" w:hAnsiTheme="majorHAnsi" w:cstheme="majorBidi"/>
                <w:sz w:val="36"/>
                <w:szCs w:val="36"/>
              </w:rPr>
              <w:lastRenderedPageBreak/>
              <w:t>2019 MART ÖZEL SEKTÖRÜN YURT DIŞINDAN SAĞLADIĞI KREDİ BORCU GELİŞMELERİ</w:t>
            </w:r>
          </w:p>
        </w:tc>
      </w:tr>
    </w:tbl>
    <w:p w:rsidR="001D1AD8" w:rsidRDefault="001D1AD8" w:rsidP="001D1AD8">
      <w:pPr>
        <w:jc w:val="both"/>
        <w:rPr>
          <w:rFonts w:ascii="Times New Roman" w:hAnsi="Times New Roman" w:cs="Times New Roman"/>
          <w:b/>
        </w:rPr>
      </w:pPr>
    </w:p>
    <w:p w:rsidR="001D1AD8" w:rsidRPr="00F90EAF" w:rsidRDefault="001D1AD8" w:rsidP="001D1AD8">
      <w:pPr>
        <w:jc w:val="both"/>
        <w:rPr>
          <w:rFonts w:ascii="Times New Roman" w:hAnsi="Times New Roman" w:cs="Times New Roman"/>
          <w:b/>
        </w:rPr>
      </w:pPr>
      <w:r w:rsidRPr="00F90EAF">
        <w:rPr>
          <w:rFonts w:ascii="Times New Roman" w:hAnsi="Times New Roman" w:cs="Times New Roman"/>
          <w:b/>
        </w:rPr>
        <w:t xml:space="preserve">Özel Sektörün </w:t>
      </w:r>
      <w:r>
        <w:rPr>
          <w:rFonts w:ascii="Times New Roman" w:hAnsi="Times New Roman" w:cs="Times New Roman"/>
          <w:b/>
        </w:rPr>
        <w:t>Yurt Dışı</w:t>
      </w:r>
      <w:r w:rsidRPr="00F90EAF">
        <w:rPr>
          <w:rFonts w:ascii="Times New Roman" w:hAnsi="Times New Roman" w:cs="Times New Roman"/>
          <w:b/>
        </w:rPr>
        <w:t xml:space="preserve">ndan Sağladığı Kredi Borcuna ilişkin </w:t>
      </w:r>
      <w:r>
        <w:rPr>
          <w:rFonts w:ascii="Times New Roman" w:hAnsi="Times New Roman" w:cs="Times New Roman"/>
          <w:b/>
        </w:rPr>
        <w:t xml:space="preserve">Mart 2019 </w:t>
      </w:r>
      <w:r w:rsidRPr="00F90EAF">
        <w:rPr>
          <w:rFonts w:ascii="Times New Roman" w:hAnsi="Times New Roman" w:cs="Times New Roman"/>
          <w:b/>
        </w:rPr>
        <w:t xml:space="preserve">verileri, Türkiye Cumhuriyet Merkez Bankası (TCMB) tarafından </w:t>
      </w:r>
      <w:r>
        <w:rPr>
          <w:rFonts w:ascii="Times New Roman" w:hAnsi="Times New Roman" w:cs="Times New Roman"/>
          <w:b/>
        </w:rPr>
        <w:t>16 Mayıs 2019</w:t>
      </w:r>
      <w:r w:rsidRPr="00F90EAF">
        <w:rPr>
          <w:rFonts w:ascii="Times New Roman" w:hAnsi="Times New Roman" w:cs="Times New Roman"/>
          <w:b/>
        </w:rPr>
        <w:t xml:space="preserve"> tarihinde yayımlandı.</w:t>
      </w:r>
      <w:r>
        <w:rPr>
          <w:rStyle w:val="DipnotBavurusu"/>
          <w:rFonts w:ascii="Times New Roman" w:hAnsi="Times New Roman" w:cs="Times New Roman"/>
          <w:b/>
        </w:rPr>
        <w:footnoteReference w:id="1"/>
      </w:r>
    </w:p>
    <w:p w:rsidR="001D1AD8" w:rsidRPr="00F90EAF" w:rsidRDefault="001D1AD8" w:rsidP="001D1AD8">
      <w:pPr>
        <w:jc w:val="both"/>
        <w:rPr>
          <w:rFonts w:ascii="Times New Roman" w:hAnsi="Times New Roman" w:cs="Times New Roman"/>
        </w:rPr>
      </w:pPr>
      <w:r w:rsidRPr="00F90EAF">
        <w:rPr>
          <w:rFonts w:ascii="Times New Roman" w:hAnsi="Times New Roman" w:cs="Times New Roman"/>
        </w:rPr>
        <w:t>Söz konusu veriler, özel sektörün yurt dışından sağladığı kısa ve uzun vadeli kredilerin borçlu ve alacaklı bilgileri, döviz cinsi, kullanım, anapara/faiz ödemeleri ve ödeme planları şeklindeki kredi ayrıntıları, işlemlere aracılık eden bankalar tarafından TCMB’ye işlem bazında gönderilen bildirim formlarından derlenmektedir.</w:t>
      </w:r>
    </w:p>
    <w:p w:rsidR="001D1AD8" w:rsidRDefault="001D1AD8" w:rsidP="001D1AD8">
      <w:pPr>
        <w:jc w:val="both"/>
        <w:rPr>
          <w:rFonts w:ascii="Times New Roman" w:hAnsi="Times New Roman" w:cs="Times New Roman"/>
        </w:rPr>
      </w:pPr>
      <w:r w:rsidRPr="00F90EAF">
        <w:rPr>
          <w:rFonts w:ascii="Times New Roman" w:hAnsi="Times New Roman" w:cs="Times New Roman"/>
        </w:rPr>
        <w:t>Buna</w:t>
      </w:r>
      <w:r>
        <w:rPr>
          <w:rFonts w:ascii="Times New Roman" w:hAnsi="Times New Roman" w:cs="Times New Roman"/>
        </w:rPr>
        <w:t xml:space="preserve"> göre, 2019</w:t>
      </w:r>
      <w:r w:rsidRPr="00F90EAF">
        <w:rPr>
          <w:rFonts w:ascii="Times New Roman" w:hAnsi="Times New Roman" w:cs="Times New Roman"/>
        </w:rPr>
        <w:t xml:space="preserve"> yılı </w:t>
      </w:r>
      <w:r>
        <w:rPr>
          <w:rFonts w:ascii="Times New Roman" w:hAnsi="Times New Roman" w:cs="Times New Roman"/>
        </w:rPr>
        <w:t>ilk çeyreklik</w:t>
      </w:r>
      <w:r w:rsidRPr="00F90EAF">
        <w:rPr>
          <w:rFonts w:ascii="Times New Roman" w:hAnsi="Times New Roman" w:cs="Times New Roman"/>
        </w:rPr>
        <w:t xml:space="preserve"> itibarıyla özel sektörün </w:t>
      </w:r>
      <w:r>
        <w:rPr>
          <w:rFonts w:ascii="Times New Roman" w:hAnsi="Times New Roman" w:cs="Times New Roman"/>
        </w:rPr>
        <w:t>yurt dışı</w:t>
      </w:r>
      <w:r w:rsidRPr="00F90EAF">
        <w:rPr>
          <w:rFonts w:ascii="Times New Roman" w:hAnsi="Times New Roman" w:cs="Times New Roman"/>
        </w:rPr>
        <w:t>ndan sağladığı uzun vadeli kredi borcu 201</w:t>
      </w:r>
      <w:r>
        <w:rPr>
          <w:rFonts w:ascii="Times New Roman" w:hAnsi="Times New Roman" w:cs="Times New Roman"/>
        </w:rPr>
        <w:t>8</w:t>
      </w:r>
      <w:r w:rsidRPr="00F90EAF">
        <w:rPr>
          <w:rFonts w:ascii="Times New Roman" w:hAnsi="Times New Roman" w:cs="Times New Roman"/>
        </w:rPr>
        <w:t xml:space="preserve"> yılsonuna göre </w:t>
      </w:r>
      <w:r w:rsidRPr="00F1703C">
        <w:rPr>
          <w:rFonts w:ascii="Times New Roman" w:hAnsi="Times New Roman" w:cs="Times New Roman"/>
        </w:rPr>
        <w:t>%</w:t>
      </w:r>
      <w:r>
        <w:rPr>
          <w:rFonts w:ascii="Times New Roman" w:hAnsi="Times New Roman" w:cs="Times New Roman"/>
        </w:rPr>
        <w:t>0,1</w:t>
      </w:r>
      <w:r w:rsidRPr="00F90EAF">
        <w:rPr>
          <w:rFonts w:ascii="Times New Roman" w:hAnsi="Times New Roman" w:cs="Times New Roman"/>
        </w:rPr>
        <w:t xml:space="preserve"> (</w:t>
      </w:r>
      <w:r>
        <w:rPr>
          <w:rFonts w:ascii="Times New Roman" w:hAnsi="Times New Roman" w:cs="Times New Roman"/>
        </w:rPr>
        <w:t>~126,7 milyon</w:t>
      </w:r>
      <w:r w:rsidRPr="00F90EAF">
        <w:rPr>
          <w:rFonts w:ascii="Times New Roman" w:hAnsi="Times New Roman" w:cs="Times New Roman"/>
        </w:rPr>
        <w:t xml:space="preserve"> dolar)</w:t>
      </w:r>
      <w:r>
        <w:rPr>
          <w:rFonts w:ascii="Times New Roman" w:hAnsi="Times New Roman" w:cs="Times New Roman"/>
        </w:rPr>
        <w:t xml:space="preserve"> artarak yaklaşık 210,2</w:t>
      </w:r>
      <w:r w:rsidRPr="00F90EAF">
        <w:rPr>
          <w:rFonts w:ascii="Times New Roman" w:hAnsi="Times New Roman" w:cs="Times New Roman"/>
        </w:rPr>
        <w:t xml:space="preserve"> milyar ABD dolar</w:t>
      </w:r>
      <w:r>
        <w:rPr>
          <w:rFonts w:ascii="Times New Roman" w:hAnsi="Times New Roman" w:cs="Times New Roman"/>
        </w:rPr>
        <w:t>ı olmuştur</w:t>
      </w:r>
      <w:r w:rsidRPr="00F90EAF">
        <w:rPr>
          <w:rFonts w:ascii="Times New Roman" w:hAnsi="Times New Roman" w:cs="Times New Roman"/>
        </w:rPr>
        <w:t>. Aynı dönemde kısa vadeli kredi bo</w:t>
      </w:r>
      <w:r>
        <w:rPr>
          <w:rFonts w:ascii="Times New Roman" w:hAnsi="Times New Roman" w:cs="Times New Roman"/>
        </w:rPr>
        <w:t xml:space="preserve">rcu </w:t>
      </w:r>
      <w:r w:rsidRPr="00F1703C">
        <w:rPr>
          <w:rFonts w:ascii="Times New Roman" w:hAnsi="Times New Roman" w:cs="Times New Roman"/>
        </w:rPr>
        <w:t xml:space="preserve">ise </w:t>
      </w:r>
      <w:r>
        <w:rPr>
          <w:rFonts w:ascii="Times New Roman" w:hAnsi="Times New Roman" w:cs="Times New Roman"/>
        </w:rPr>
        <w:t>%21,6</w:t>
      </w:r>
      <w:r w:rsidRPr="00F1703C">
        <w:rPr>
          <w:rFonts w:ascii="Times New Roman" w:hAnsi="Times New Roman" w:cs="Times New Roman"/>
        </w:rPr>
        <w:t>’l</w:t>
      </w:r>
      <w:r>
        <w:rPr>
          <w:rFonts w:ascii="Times New Roman" w:hAnsi="Times New Roman" w:cs="Times New Roman"/>
        </w:rPr>
        <w:t>ı</w:t>
      </w:r>
      <w:r w:rsidRPr="00F1703C">
        <w:rPr>
          <w:rFonts w:ascii="Times New Roman" w:hAnsi="Times New Roman" w:cs="Times New Roman"/>
        </w:rPr>
        <w:t>k bir</w:t>
      </w:r>
      <w:r>
        <w:rPr>
          <w:rFonts w:ascii="Times New Roman" w:hAnsi="Times New Roman" w:cs="Times New Roman"/>
        </w:rPr>
        <w:t xml:space="preserve"> düşüşle 12,1 milyar ABD doları seviyesine gerilemiştir. </w:t>
      </w:r>
      <w:r w:rsidRPr="000A5232">
        <w:rPr>
          <w:rFonts w:ascii="Times New Roman" w:hAnsi="Times New Roman" w:cs="Times New Roman"/>
        </w:rPr>
        <w:t xml:space="preserve">Böylelikle toplam kredi borcu yaklaşık </w:t>
      </w:r>
      <w:r>
        <w:rPr>
          <w:rFonts w:ascii="Times New Roman" w:hAnsi="Times New Roman" w:cs="Times New Roman"/>
        </w:rPr>
        <w:t>3,2</w:t>
      </w:r>
      <w:r w:rsidRPr="000A5232">
        <w:rPr>
          <w:rFonts w:ascii="Times New Roman" w:hAnsi="Times New Roman" w:cs="Times New Roman"/>
        </w:rPr>
        <w:t xml:space="preserve"> mily</w:t>
      </w:r>
      <w:r>
        <w:rPr>
          <w:rFonts w:ascii="Times New Roman" w:hAnsi="Times New Roman" w:cs="Times New Roman"/>
        </w:rPr>
        <w:t>ar ABD doları azalarak 222,3</w:t>
      </w:r>
      <w:r w:rsidRPr="000A5232">
        <w:rPr>
          <w:rFonts w:ascii="Times New Roman" w:hAnsi="Times New Roman" w:cs="Times New Roman"/>
        </w:rPr>
        <w:t xml:space="preserve"> milyar ABD doları seviyesinde gerçekleşmiştir</w:t>
      </w:r>
      <w:r w:rsidRPr="00F90EAF">
        <w:rPr>
          <w:rFonts w:ascii="Times New Roman" w:hAnsi="Times New Roman" w:cs="Times New Roman"/>
        </w:rPr>
        <w:t xml:space="preserve"> (Şekil 1). </w:t>
      </w:r>
    </w:p>
    <w:p w:rsidR="001D1AD8" w:rsidRPr="008E3B58" w:rsidRDefault="001D1AD8" w:rsidP="001D1AD8">
      <w:pPr>
        <w:spacing w:after="0" w:line="240" w:lineRule="auto"/>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Pr>
          <w:rFonts w:ascii="Times New Roman" w:hAnsi="Times New Roman" w:cs="Times New Roman"/>
          <w:b/>
          <w:noProof/>
        </w:rPr>
        <w:t>1</w:t>
      </w:r>
      <w:r w:rsidRPr="008E3B58">
        <w:rPr>
          <w:rFonts w:ascii="Times New Roman" w:hAnsi="Times New Roman" w:cs="Times New Roman"/>
          <w:b/>
        </w:rPr>
        <w:fldChar w:fldCharType="end"/>
      </w:r>
      <w:r w:rsidRPr="008E3B58">
        <w:rPr>
          <w:rFonts w:ascii="Times New Roman" w:hAnsi="Times New Roman" w:cs="Times New Roman"/>
          <w:b/>
        </w:rPr>
        <w:t>: Özel Sektörün Yurt Dışından Sağladığı Kredi Borcu (2004 –</w:t>
      </w:r>
      <w:r>
        <w:rPr>
          <w:rFonts w:ascii="Times New Roman" w:hAnsi="Times New Roman" w:cs="Times New Roman"/>
          <w:b/>
        </w:rPr>
        <w:t>Q1:2019</w:t>
      </w:r>
      <w:r w:rsidRPr="008E3B58">
        <w:rPr>
          <w:rFonts w:ascii="Times New Roman" w:hAnsi="Times New Roman" w:cs="Times New Roman"/>
          <w:b/>
        </w:rPr>
        <w:t>)</w:t>
      </w:r>
    </w:p>
    <w:p w:rsidR="001D1AD8" w:rsidRDefault="001D1AD8" w:rsidP="001D1AD8">
      <w:pPr>
        <w:spacing w:after="0" w:line="192" w:lineRule="auto"/>
        <w:jc w:val="both"/>
        <w:rPr>
          <w:noProof/>
        </w:rPr>
      </w:pPr>
      <w:r w:rsidRPr="000B0C7B">
        <w:rPr>
          <w:rFonts w:ascii="Times New Roman" w:hAnsi="Times New Roman" w:cs="Times New Roman"/>
          <w:sz w:val="18"/>
          <w:szCs w:val="18"/>
        </w:rPr>
        <w:t xml:space="preserve"> </w:t>
      </w:r>
      <w:r w:rsidRPr="004E1A72">
        <w:rPr>
          <w:noProof/>
        </w:rPr>
        <w:drawing>
          <wp:inline distT="0" distB="0" distL="0" distR="0" wp14:anchorId="5EBB0BF8" wp14:editId="48C708ED">
            <wp:extent cx="5971878" cy="38100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86" cy="3811026"/>
                    </a:xfrm>
                    <a:prstGeom prst="rect">
                      <a:avLst/>
                    </a:prstGeom>
                    <a:noFill/>
                    <a:ln>
                      <a:noFill/>
                    </a:ln>
                  </pic:spPr>
                </pic:pic>
              </a:graphicData>
            </a:graphic>
          </wp:inline>
        </w:drawing>
      </w:r>
    </w:p>
    <w:p w:rsidR="001D1AD8" w:rsidRPr="001D1AD8" w:rsidRDefault="001D1AD8" w:rsidP="001D1AD8">
      <w:pPr>
        <w:spacing w:after="0" w:line="192"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r w:rsidR="00BC25C8">
        <w:rPr>
          <w:rFonts w:ascii="Times New Roman" w:hAnsi="Times New Roman" w:cs="Times New Roman"/>
          <w:sz w:val="18"/>
          <w:szCs w:val="18"/>
        </w:rPr>
        <w:t>, TEPAV</w:t>
      </w:r>
    </w:p>
    <w:p w:rsidR="001D1AD8" w:rsidRDefault="001D1AD8" w:rsidP="00833A80">
      <w:pPr>
        <w:jc w:val="center"/>
        <w:rPr>
          <w:rFonts w:ascii="Times New Roman" w:hAnsi="Times New Roman" w:cs="Times New Roman"/>
          <w:b/>
          <w:color w:val="1F4E79" w:themeColor="accent1" w:themeShade="80"/>
          <w:sz w:val="40"/>
          <w:szCs w:val="40"/>
        </w:rPr>
      </w:pPr>
    </w:p>
    <w:p w:rsidR="001D1AD8" w:rsidRPr="00964972" w:rsidRDefault="001D1AD8" w:rsidP="001D1AD8">
      <w:pPr>
        <w:jc w:val="both"/>
        <w:rPr>
          <w:rFonts w:ascii="Times New Roman" w:hAnsi="Times New Roman" w:cs="Times New Roman"/>
        </w:rPr>
      </w:pPr>
      <w:r>
        <w:rPr>
          <w:rFonts w:ascii="Times New Roman" w:hAnsi="Times New Roman" w:cs="Times New Roman"/>
          <w:b/>
          <w:color w:val="1F4E79" w:themeColor="accent1" w:themeShade="80"/>
          <w:sz w:val="40"/>
          <w:szCs w:val="40"/>
        </w:rPr>
        <w:br w:type="page"/>
      </w:r>
      <w:r w:rsidRPr="00964972">
        <w:rPr>
          <w:rFonts w:ascii="Times New Roman" w:hAnsi="Times New Roman" w:cs="Times New Roman"/>
          <w:b/>
        </w:rPr>
        <w:lastRenderedPageBreak/>
        <w:t>Özel sektörün yurt dışından sağladığı uzun vadeli kredi borcunun borçluya göre dağılımı incelendiğinde, finansal kesimin kredi borcunun (%</w:t>
      </w:r>
      <w:r>
        <w:rPr>
          <w:rFonts w:ascii="Times New Roman" w:hAnsi="Times New Roman" w:cs="Times New Roman"/>
          <w:b/>
        </w:rPr>
        <w:t>48,9</w:t>
      </w:r>
      <w:r w:rsidRPr="00964972">
        <w:rPr>
          <w:rFonts w:ascii="Times New Roman" w:hAnsi="Times New Roman" w:cs="Times New Roman"/>
          <w:b/>
        </w:rPr>
        <w:t>), finansal olmay</w:t>
      </w:r>
      <w:r>
        <w:rPr>
          <w:rFonts w:ascii="Times New Roman" w:hAnsi="Times New Roman" w:cs="Times New Roman"/>
          <w:b/>
        </w:rPr>
        <w:t>an kesimin kredi borcundan (%51,1</w:t>
      </w:r>
      <w:r w:rsidRPr="00964972">
        <w:rPr>
          <w:rFonts w:ascii="Times New Roman" w:hAnsi="Times New Roman" w:cs="Times New Roman"/>
          <w:b/>
        </w:rPr>
        <w:t xml:space="preserve">) daha </w:t>
      </w:r>
      <w:r>
        <w:rPr>
          <w:rFonts w:ascii="Times New Roman" w:hAnsi="Times New Roman" w:cs="Times New Roman"/>
          <w:b/>
        </w:rPr>
        <w:t>az</w:t>
      </w:r>
      <w:r w:rsidRPr="00964972">
        <w:rPr>
          <w:rFonts w:ascii="Times New Roman" w:hAnsi="Times New Roman" w:cs="Times New Roman"/>
          <w:b/>
        </w:rPr>
        <w:t xml:space="preserve"> olduğu görülmektedir.</w:t>
      </w:r>
      <w:r w:rsidRPr="00964972">
        <w:rPr>
          <w:rFonts w:ascii="Times New Roman" w:hAnsi="Times New Roman" w:cs="Times New Roman"/>
        </w:rPr>
        <w:t xml:space="preserve"> Bununla birlikte </w:t>
      </w:r>
      <w:r>
        <w:rPr>
          <w:rFonts w:ascii="Times New Roman" w:hAnsi="Times New Roman" w:cs="Times New Roman"/>
        </w:rPr>
        <w:t xml:space="preserve">2014 yılından 2017 </w:t>
      </w:r>
      <w:proofErr w:type="gramStart"/>
      <w:r>
        <w:rPr>
          <w:rFonts w:ascii="Times New Roman" w:hAnsi="Times New Roman" w:cs="Times New Roman"/>
        </w:rPr>
        <w:t>yıl sonuna</w:t>
      </w:r>
      <w:proofErr w:type="gramEnd"/>
      <w:r>
        <w:rPr>
          <w:rFonts w:ascii="Times New Roman" w:hAnsi="Times New Roman" w:cs="Times New Roman"/>
        </w:rPr>
        <w:t xml:space="preserve"> </w:t>
      </w:r>
      <w:r w:rsidRPr="00964972">
        <w:rPr>
          <w:rFonts w:ascii="Times New Roman" w:hAnsi="Times New Roman" w:cs="Times New Roman"/>
        </w:rPr>
        <w:t>kadar uzun vadeli krediler içinde finansal kesimin payının, finansal olmayan kesimin payınd</w:t>
      </w:r>
      <w:r>
        <w:rPr>
          <w:rFonts w:ascii="Times New Roman" w:hAnsi="Times New Roman" w:cs="Times New Roman"/>
        </w:rPr>
        <w:t>an daha yüksek</w:t>
      </w:r>
      <w:r w:rsidRPr="00964972">
        <w:rPr>
          <w:rFonts w:ascii="Times New Roman" w:hAnsi="Times New Roman" w:cs="Times New Roman"/>
        </w:rPr>
        <w:t xml:space="preserve"> bir seviyede olduğu görülmekteydi. Büyük çoğunluğunu bankaların oluşturduğu finansal kesimin uzun vadeli kredi borcu, 201</w:t>
      </w:r>
      <w:r>
        <w:rPr>
          <w:rFonts w:ascii="Times New Roman" w:hAnsi="Times New Roman" w:cs="Times New Roman"/>
        </w:rPr>
        <w:t>8</w:t>
      </w:r>
      <w:r w:rsidRPr="00964972">
        <w:rPr>
          <w:rFonts w:ascii="Times New Roman" w:hAnsi="Times New Roman" w:cs="Times New Roman"/>
        </w:rPr>
        <w:t xml:space="preserve"> yılsonuna göre </w:t>
      </w:r>
      <w:r>
        <w:rPr>
          <w:rFonts w:ascii="Times New Roman" w:hAnsi="Times New Roman" w:cs="Times New Roman"/>
        </w:rPr>
        <w:t xml:space="preserve">93,5 milyon </w:t>
      </w:r>
      <w:r w:rsidRPr="00964972">
        <w:rPr>
          <w:rFonts w:ascii="Times New Roman" w:hAnsi="Times New Roman" w:cs="Times New Roman"/>
        </w:rPr>
        <w:t>ABD doları a</w:t>
      </w:r>
      <w:r>
        <w:rPr>
          <w:rFonts w:ascii="Times New Roman" w:hAnsi="Times New Roman" w:cs="Times New Roman"/>
        </w:rPr>
        <w:t>rt</w:t>
      </w:r>
      <w:r w:rsidRPr="00964972">
        <w:rPr>
          <w:rFonts w:ascii="Times New Roman" w:hAnsi="Times New Roman" w:cs="Times New Roman"/>
        </w:rPr>
        <w:t xml:space="preserve">arak </w:t>
      </w:r>
      <w:r>
        <w:rPr>
          <w:rFonts w:ascii="Times New Roman" w:hAnsi="Times New Roman" w:cs="Times New Roman"/>
        </w:rPr>
        <w:t>102,7</w:t>
      </w:r>
      <w:r w:rsidRPr="00964972">
        <w:rPr>
          <w:rFonts w:ascii="Times New Roman" w:hAnsi="Times New Roman" w:cs="Times New Roman"/>
        </w:rPr>
        <w:t xml:space="preserve"> milyar ABD doları seviyesinde gerçekleşmiştir. Finansal olmayan kuruluşların borcu ise </w:t>
      </w:r>
      <w:r>
        <w:rPr>
          <w:rFonts w:ascii="Times New Roman" w:hAnsi="Times New Roman" w:cs="Times New Roman"/>
        </w:rPr>
        <w:t>2018</w:t>
      </w:r>
      <w:r w:rsidRPr="00964972">
        <w:rPr>
          <w:rFonts w:ascii="Times New Roman" w:hAnsi="Times New Roman" w:cs="Times New Roman"/>
        </w:rPr>
        <w:t xml:space="preserve"> yılsonuna göre </w:t>
      </w:r>
      <w:r>
        <w:rPr>
          <w:rFonts w:ascii="Times New Roman" w:hAnsi="Times New Roman" w:cs="Times New Roman"/>
        </w:rPr>
        <w:t>33,2 milyon</w:t>
      </w:r>
      <w:r w:rsidRPr="00964972">
        <w:rPr>
          <w:rFonts w:ascii="Times New Roman" w:hAnsi="Times New Roman" w:cs="Times New Roman"/>
        </w:rPr>
        <w:t xml:space="preserve"> ABD doları a</w:t>
      </w:r>
      <w:r>
        <w:rPr>
          <w:rFonts w:ascii="Times New Roman" w:hAnsi="Times New Roman" w:cs="Times New Roman"/>
        </w:rPr>
        <w:t>rt</w:t>
      </w:r>
      <w:r w:rsidRPr="00964972">
        <w:rPr>
          <w:rFonts w:ascii="Times New Roman" w:hAnsi="Times New Roman" w:cs="Times New Roman"/>
        </w:rPr>
        <w:t xml:space="preserve">mış ve </w:t>
      </w:r>
      <w:r>
        <w:rPr>
          <w:rFonts w:ascii="Times New Roman" w:hAnsi="Times New Roman" w:cs="Times New Roman"/>
        </w:rPr>
        <w:t>107,5</w:t>
      </w:r>
      <w:r w:rsidRPr="00964972">
        <w:rPr>
          <w:rFonts w:ascii="Times New Roman" w:hAnsi="Times New Roman" w:cs="Times New Roman"/>
        </w:rPr>
        <w:t xml:space="preserve"> milyar ABD doları olmuştur (Tablo 1). </w:t>
      </w:r>
    </w:p>
    <w:p w:rsidR="001D1AD8" w:rsidRPr="00F90EAF" w:rsidRDefault="001D1AD8" w:rsidP="001D1AD8">
      <w:pPr>
        <w:jc w:val="both"/>
        <w:rPr>
          <w:rFonts w:ascii="Times New Roman" w:hAnsi="Times New Roman" w:cs="Times New Roman"/>
        </w:rPr>
      </w:pPr>
      <w:r w:rsidRPr="00964972">
        <w:rPr>
          <w:rFonts w:ascii="Times New Roman" w:hAnsi="Times New Roman" w:cs="Times New Roman"/>
          <w:b/>
        </w:rPr>
        <w:t>Alacaklıya göre dağılım verileri, tahvil alacaklıları hariç toplam kredi borcunun büyük ölçüde özel alacaklılara olan borçlardan oluştuğunu göstermektedir (%</w:t>
      </w:r>
      <w:r>
        <w:rPr>
          <w:rFonts w:ascii="Times New Roman" w:hAnsi="Times New Roman" w:cs="Times New Roman"/>
          <w:b/>
        </w:rPr>
        <w:t>85,5</w:t>
      </w:r>
      <w:r w:rsidRPr="00964972">
        <w:rPr>
          <w:rFonts w:ascii="Times New Roman" w:hAnsi="Times New Roman" w:cs="Times New Roman"/>
          <w:b/>
        </w:rPr>
        <w:t xml:space="preserve">). </w:t>
      </w:r>
      <w:r w:rsidRPr="00964972">
        <w:rPr>
          <w:rFonts w:ascii="Times New Roman" w:hAnsi="Times New Roman" w:cs="Times New Roman"/>
        </w:rPr>
        <w:t>Özel alacaklıla</w:t>
      </w:r>
      <w:r>
        <w:rPr>
          <w:rFonts w:ascii="Times New Roman" w:hAnsi="Times New Roman" w:cs="Times New Roman"/>
        </w:rPr>
        <w:t>rın uzun vadeli kredi borcu 2019</w:t>
      </w:r>
      <w:r w:rsidRPr="00964972">
        <w:rPr>
          <w:rFonts w:ascii="Times New Roman" w:hAnsi="Times New Roman" w:cs="Times New Roman"/>
        </w:rPr>
        <w:t xml:space="preserve"> yılı </w:t>
      </w:r>
      <w:r>
        <w:rPr>
          <w:rFonts w:ascii="Times New Roman" w:hAnsi="Times New Roman" w:cs="Times New Roman"/>
        </w:rPr>
        <w:t>ilk çeyreklik</w:t>
      </w:r>
      <w:r w:rsidRPr="00964972">
        <w:rPr>
          <w:rFonts w:ascii="Times New Roman" w:hAnsi="Times New Roman" w:cs="Times New Roman"/>
        </w:rPr>
        <w:t xml:space="preserve"> sonunda</w:t>
      </w:r>
      <w:r>
        <w:rPr>
          <w:rFonts w:ascii="Times New Roman" w:hAnsi="Times New Roman" w:cs="Times New Roman"/>
        </w:rPr>
        <w:t>, 2018</w:t>
      </w:r>
      <w:r w:rsidRPr="00964972">
        <w:rPr>
          <w:rFonts w:ascii="Times New Roman" w:hAnsi="Times New Roman" w:cs="Times New Roman"/>
        </w:rPr>
        <w:t xml:space="preserve"> yılsonuna göre </w:t>
      </w:r>
      <w:r>
        <w:rPr>
          <w:rFonts w:ascii="Times New Roman" w:hAnsi="Times New Roman" w:cs="Times New Roman"/>
        </w:rPr>
        <w:t>3,4</w:t>
      </w:r>
      <w:r w:rsidRPr="00964972">
        <w:rPr>
          <w:rFonts w:ascii="Times New Roman" w:hAnsi="Times New Roman" w:cs="Times New Roman"/>
        </w:rPr>
        <w:t xml:space="preserve"> mily</w:t>
      </w:r>
      <w:r>
        <w:rPr>
          <w:rFonts w:ascii="Times New Roman" w:hAnsi="Times New Roman" w:cs="Times New Roman"/>
        </w:rPr>
        <w:t>ar</w:t>
      </w:r>
      <w:r w:rsidRPr="00964972">
        <w:rPr>
          <w:rFonts w:ascii="Times New Roman" w:hAnsi="Times New Roman" w:cs="Times New Roman"/>
        </w:rPr>
        <w:t xml:space="preserve"> ABD doları a</w:t>
      </w:r>
      <w:r>
        <w:rPr>
          <w:rFonts w:ascii="Times New Roman" w:hAnsi="Times New Roman" w:cs="Times New Roman"/>
        </w:rPr>
        <w:t>zalarak</w:t>
      </w:r>
      <w:r w:rsidRPr="00964972">
        <w:rPr>
          <w:rFonts w:ascii="Times New Roman" w:hAnsi="Times New Roman" w:cs="Times New Roman"/>
        </w:rPr>
        <w:t xml:space="preserve"> 1</w:t>
      </w:r>
      <w:r>
        <w:rPr>
          <w:rFonts w:ascii="Times New Roman" w:hAnsi="Times New Roman" w:cs="Times New Roman"/>
        </w:rPr>
        <w:t>42,8</w:t>
      </w:r>
      <w:r w:rsidRPr="00964972">
        <w:rPr>
          <w:rFonts w:ascii="Times New Roman" w:hAnsi="Times New Roman" w:cs="Times New Roman"/>
        </w:rPr>
        <w:t xml:space="preserve"> milyar ABD doları seviyesinde gerçekleşmiş ve böylelikle toplam uzun vadeli kredilerdeki payı </w:t>
      </w:r>
      <w:r>
        <w:rPr>
          <w:rFonts w:ascii="Times New Roman" w:hAnsi="Times New Roman" w:cs="Times New Roman"/>
        </w:rPr>
        <w:t>%67,9</w:t>
      </w:r>
      <w:r w:rsidRPr="00964972">
        <w:rPr>
          <w:rFonts w:ascii="Times New Roman" w:hAnsi="Times New Roman" w:cs="Times New Roman"/>
        </w:rPr>
        <w:t xml:space="preserve"> olmuştur. Tahvil hariç toplam kredi borcunun </w:t>
      </w:r>
      <w:r>
        <w:rPr>
          <w:rFonts w:ascii="Times New Roman" w:hAnsi="Times New Roman" w:cs="Times New Roman"/>
        </w:rPr>
        <w:t>%14,5</w:t>
      </w:r>
      <w:r w:rsidRPr="00964972">
        <w:rPr>
          <w:rFonts w:ascii="Times New Roman" w:hAnsi="Times New Roman" w:cs="Times New Roman"/>
        </w:rPr>
        <w:t>’</w:t>
      </w:r>
      <w:r>
        <w:rPr>
          <w:rFonts w:ascii="Times New Roman" w:hAnsi="Times New Roman" w:cs="Times New Roman"/>
        </w:rPr>
        <w:t>ini</w:t>
      </w:r>
      <w:r w:rsidRPr="00964972">
        <w:rPr>
          <w:rFonts w:ascii="Times New Roman" w:hAnsi="Times New Roman" w:cs="Times New Roman"/>
        </w:rPr>
        <w:t xml:space="preserve"> oluşturan resmi alacaklar ise </w:t>
      </w:r>
      <w:r>
        <w:rPr>
          <w:rFonts w:ascii="Times New Roman" w:hAnsi="Times New Roman" w:cs="Times New Roman"/>
        </w:rPr>
        <w:t>24,1</w:t>
      </w:r>
      <w:r w:rsidRPr="00964972">
        <w:rPr>
          <w:rFonts w:ascii="Times New Roman" w:hAnsi="Times New Roman" w:cs="Times New Roman"/>
        </w:rPr>
        <w:t xml:space="preserve"> milyar ABD doları seviyesinde gerçekleşmiştir (Tablo 1).</w:t>
      </w:r>
    </w:p>
    <w:p w:rsidR="001D1AD8" w:rsidRDefault="001D1AD8" w:rsidP="001D1AD8">
      <w:pPr>
        <w:jc w:val="both"/>
        <w:rPr>
          <w:rFonts w:ascii="Times New Roman" w:hAnsi="Times New Roman" w:cs="Times New Roman"/>
          <w:b/>
          <w:color w:val="000000" w:themeColor="text1"/>
        </w:rPr>
      </w:pPr>
      <w:r w:rsidRPr="008E3B58">
        <w:rPr>
          <w:rFonts w:ascii="Times New Roman" w:hAnsi="Times New Roman" w:cs="Times New Roman"/>
          <w:b/>
          <w:color w:val="000000" w:themeColor="text1"/>
        </w:rPr>
        <w:t>Tablo 1: Özel Sektörün Yurt Dışından Sağladığı Uzun Vadeli Kredi Borcu (borçlu ve alacaklıya göre dağılım)</w:t>
      </w:r>
    </w:p>
    <w:p w:rsidR="001D1AD8" w:rsidRDefault="001D1AD8">
      <w:pPr>
        <w:spacing w:after="160" w:line="259" w:lineRule="auto"/>
        <w:rPr>
          <w:rFonts w:ascii="Times New Roman" w:hAnsi="Times New Roman" w:cs="Times New Roman"/>
          <w:b/>
          <w:color w:val="1F4E79" w:themeColor="accent1" w:themeShade="80"/>
          <w:sz w:val="40"/>
          <w:szCs w:val="40"/>
        </w:rPr>
      </w:pPr>
      <w:r w:rsidRPr="00420BF1">
        <w:rPr>
          <w:noProof/>
        </w:rPr>
        <w:drawing>
          <wp:inline distT="0" distB="0" distL="0" distR="0" wp14:anchorId="312818C8" wp14:editId="6A4B8E17">
            <wp:extent cx="5971924" cy="319087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8954" cy="3194631"/>
                    </a:xfrm>
                    <a:prstGeom prst="rect">
                      <a:avLst/>
                    </a:prstGeom>
                    <a:noFill/>
                    <a:ln>
                      <a:noFill/>
                    </a:ln>
                  </pic:spPr>
                </pic:pic>
              </a:graphicData>
            </a:graphic>
          </wp:inline>
        </w:drawing>
      </w:r>
    </w:p>
    <w:p w:rsidR="001D1AD8" w:rsidRPr="00964972" w:rsidRDefault="001D1AD8" w:rsidP="001D1AD8">
      <w:pPr>
        <w:jc w:val="both"/>
        <w:rPr>
          <w:rFonts w:ascii="Times New Roman" w:hAnsi="Times New Roman" w:cs="Times New Roman"/>
          <w:b/>
        </w:rPr>
      </w:pPr>
      <w:r w:rsidRPr="00964972">
        <w:rPr>
          <w:rFonts w:ascii="Times New Roman" w:hAnsi="Times New Roman" w:cs="Times New Roman"/>
          <w:b/>
        </w:rPr>
        <w:t xml:space="preserve">Özel sektörün yurt dışından sağladığı kısa vadeli kredi borcunun borçluya göre dağılımı incelendiğinde, borcun tamamına yakınının finansal kesime ait olduğu görülmektedir. Finansal kuruluşların kredi borcunun toplam kısa </w:t>
      </w:r>
      <w:r>
        <w:rPr>
          <w:rFonts w:ascii="Times New Roman" w:hAnsi="Times New Roman" w:cs="Times New Roman"/>
          <w:b/>
        </w:rPr>
        <w:t>vadeli borçlar içindeki payı %70,8</w:t>
      </w:r>
      <w:r w:rsidRPr="00964972">
        <w:rPr>
          <w:rFonts w:ascii="Times New Roman" w:hAnsi="Times New Roman" w:cs="Times New Roman"/>
          <w:b/>
        </w:rPr>
        <w:t xml:space="preserve"> iken finansal olmayan kesimin payı %</w:t>
      </w:r>
      <w:r>
        <w:rPr>
          <w:rFonts w:ascii="Times New Roman" w:hAnsi="Times New Roman" w:cs="Times New Roman"/>
          <w:b/>
        </w:rPr>
        <w:t>29,2</w:t>
      </w:r>
      <w:r w:rsidRPr="00964972">
        <w:rPr>
          <w:rFonts w:ascii="Times New Roman" w:hAnsi="Times New Roman" w:cs="Times New Roman"/>
          <w:b/>
        </w:rPr>
        <w:t>’</w:t>
      </w:r>
      <w:r>
        <w:rPr>
          <w:rFonts w:ascii="Times New Roman" w:hAnsi="Times New Roman" w:cs="Times New Roman"/>
          <w:b/>
        </w:rPr>
        <w:t>dir</w:t>
      </w:r>
      <w:r w:rsidRPr="00964972">
        <w:rPr>
          <w:rFonts w:ascii="Times New Roman" w:hAnsi="Times New Roman" w:cs="Times New Roman"/>
          <w:b/>
        </w:rPr>
        <w:t>.</w:t>
      </w:r>
    </w:p>
    <w:p w:rsidR="001D1AD8" w:rsidRPr="00F90EAF" w:rsidRDefault="001D1AD8" w:rsidP="001D1AD8">
      <w:pPr>
        <w:jc w:val="both"/>
        <w:rPr>
          <w:rFonts w:ascii="Times New Roman" w:hAnsi="Times New Roman" w:cs="Times New Roman"/>
        </w:rPr>
      </w:pPr>
      <w:r w:rsidRPr="00964972">
        <w:rPr>
          <w:rFonts w:ascii="Times New Roman" w:hAnsi="Times New Roman" w:cs="Times New Roman"/>
        </w:rPr>
        <w:t>Kısa vadeli kredi borcu içinde finansal kuruluşların borcu 201</w:t>
      </w:r>
      <w:r>
        <w:rPr>
          <w:rFonts w:ascii="Times New Roman" w:hAnsi="Times New Roman" w:cs="Times New Roman"/>
        </w:rPr>
        <w:t>9</w:t>
      </w:r>
      <w:r w:rsidRPr="00964972">
        <w:rPr>
          <w:rFonts w:ascii="Times New Roman" w:hAnsi="Times New Roman" w:cs="Times New Roman"/>
        </w:rPr>
        <w:t xml:space="preserve"> yılı </w:t>
      </w:r>
      <w:r>
        <w:rPr>
          <w:rFonts w:ascii="Times New Roman" w:hAnsi="Times New Roman" w:cs="Times New Roman"/>
        </w:rPr>
        <w:t>ilk çeyreklik</w:t>
      </w:r>
      <w:r w:rsidRPr="00964972">
        <w:rPr>
          <w:rFonts w:ascii="Times New Roman" w:hAnsi="Times New Roman" w:cs="Times New Roman"/>
        </w:rPr>
        <w:t xml:space="preserve"> itibarıyla, 201</w:t>
      </w:r>
      <w:r>
        <w:rPr>
          <w:rFonts w:ascii="Times New Roman" w:hAnsi="Times New Roman" w:cs="Times New Roman"/>
        </w:rPr>
        <w:t>8</w:t>
      </w:r>
      <w:r w:rsidRPr="00964972">
        <w:rPr>
          <w:rFonts w:ascii="Times New Roman" w:hAnsi="Times New Roman" w:cs="Times New Roman"/>
        </w:rPr>
        <w:t xml:space="preserve"> yılsonuna göre </w:t>
      </w:r>
      <w:r>
        <w:rPr>
          <w:rFonts w:ascii="Times New Roman" w:hAnsi="Times New Roman" w:cs="Times New Roman"/>
        </w:rPr>
        <w:t>2,9 milyar</w:t>
      </w:r>
      <w:r w:rsidRPr="00964972">
        <w:rPr>
          <w:rFonts w:ascii="Times New Roman" w:hAnsi="Times New Roman" w:cs="Times New Roman"/>
        </w:rPr>
        <w:t xml:space="preserve"> ABD doları </w:t>
      </w:r>
      <w:r>
        <w:rPr>
          <w:rFonts w:ascii="Times New Roman" w:hAnsi="Times New Roman" w:cs="Times New Roman"/>
        </w:rPr>
        <w:t>azalarak</w:t>
      </w:r>
      <w:r w:rsidRPr="00964972">
        <w:rPr>
          <w:rFonts w:ascii="Times New Roman" w:hAnsi="Times New Roman" w:cs="Times New Roman"/>
        </w:rPr>
        <w:t xml:space="preserve"> </w:t>
      </w:r>
      <w:r>
        <w:rPr>
          <w:rFonts w:ascii="Times New Roman" w:hAnsi="Times New Roman" w:cs="Times New Roman"/>
        </w:rPr>
        <w:t>8,6</w:t>
      </w:r>
      <w:r w:rsidRPr="00964972">
        <w:rPr>
          <w:rFonts w:ascii="Times New Roman" w:hAnsi="Times New Roman" w:cs="Times New Roman"/>
        </w:rPr>
        <w:t xml:space="preserve"> milyar ABD dolarına</w:t>
      </w:r>
      <w:r>
        <w:rPr>
          <w:rFonts w:ascii="Times New Roman" w:hAnsi="Times New Roman" w:cs="Times New Roman"/>
        </w:rPr>
        <w:t xml:space="preserve"> gerilemiş</w:t>
      </w:r>
      <w:r w:rsidRPr="00964972">
        <w:rPr>
          <w:rFonts w:ascii="Times New Roman" w:hAnsi="Times New Roman" w:cs="Times New Roman"/>
        </w:rPr>
        <w:t>, finansal olmayan kuruluşların borcu</w:t>
      </w:r>
      <w:r>
        <w:rPr>
          <w:rFonts w:ascii="Times New Roman" w:hAnsi="Times New Roman" w:cs="Times New Roman"/>
        </w:rPr>
        <w:t xml:space="preserve"> 410,6 milyon</w:t>
      </w:r>
      <w:r w:rsidRPr="00964972">
        <w:rPr>
          <w:rFonts w:ascii="Times New Roman" w:hAnsi="Times New Roman" w:cs="Times New Roman"/>
        </w:rPr>
        <w:t xml:space="preserve"> ABD doları a</w:t>
      </w:r>
      <w:r>
        <w:rPr>
          <w:rFonts w:ascii="Times New Roman" w:hAnsi="Times New Roman" w:cs="Times New Roman"/>
        </w:rPr>
        <w:t>zalmı</w:t>
      </w:r>
      <w:r w:rsidRPr="00964972">
        <w:rPr>
          <w:rFonts w:ascii="Times New Roman" w:hAnsi="Times New Roman" w:cs="Times New Roman"/>
        </w:rPr>
        <w:t xml:space="preserve">ş ve </w:t>
      </w:r>
      <w:r>
        <w:rPr>
          <w:rFonts w:ascii="Times New Roman" w:hAnsi="Times New Roman" w:cs="Times New Roman"/>
        </w:rPr>
        <w:t>yaklaşık 3,5</w:t>
      </w:r>
      <w:r w:rsidRPr="00964972">
        <w:rPr>
          <w:rFonts w:ascii="Times New Roman" w:hAnsi="Times New Roman" w:cs="Times New Roman"/>
        </w:rPr>
        <w:t xml:space="preserve"> milyar ABD doları olarak gerçekleşmiştir.</w:t>
      </w:r>
    </w:p>
    <w:p w:rsidR="001D1AD8" w:rsidRPr="00F90EAF" w:rsidRDefault="001D1AD8" w:rsidP="001D1AD8">
      <w:pPr>
        <w:jc w:val="both"/>
        <w:rPr>
          <w:rFonts w:ascii="Times New Roman" w:hAnsi="Times New Roman" w:cs="Times New Roman"/>
        </w:rPr>
      </w:pPr>
      <w:r w:rsidRPr="00964972">
        <w:rPr>
          <w:rFonts w:ascii="Times New Roman" w:hAnsi="Times New Roman" w:cs="Times New Roman"/>
          <w:b/>
        </w:rPr>
        <w:t>Alacaklıya göre dağılım incelendiğinde ise kısa vadeli toplam kredi borcunun (tahvil alacaklıları hariç) neredeyse tamamının özel alacaklılara olan borçlar olduğu</w:t>
      </w:r>
      <w:r>
        <w:rPr>
          <w:rFonts w:ascii="Times New Roman" w:hAnsi="Times New Roman" w:cs="Times New Roman"/>
          <w:b/>
        </w:rPr>
        <w:t xml:space="preserve"> (%94,1</w:t>
      </w:r>
      <w:r w:rsidRPr="00964972">
        <w:rPr>
          <w:rFonts w:ascii="Times New Roman" w:hAnsi="Times New Roman" w:cs="Times New Roman"/>
          <w:b/>
        </w:rPr>
        <w:t xml:space="preserve">), bunun da büyük </w:t>
      </w:r>
      <w:r w:rsidRPr="00964972">
        <w:rPr>
          <w:rFonts w:ascii="Times New Roman" w:hAnsi="Times New Roman" w:cs="Times New Roman"/>
          <w:b/>
        </w:rPr>
        <w:lastRenderedPageBreak/>
        <w:t>ölçüde yabancı ticari bankalara olan borçlardan oluştuğu görülmektedir.</w:t>
      </w:r>
      <w:r w:rsidRPr="00964972">
        <w:rPr>
          <w:rFonts w:ascii="Times New Roman" w:hAnsi="Times New Roman" w:cs="Times New Roman"/>
        </w:rPr>
        <w:t xml:space="preserve"> Yabancı ticari bankalara olan borçlar, 201</w:t>
      </w:r>
      <w:r>
        <w:rPr>
          <w:rFonts w:ascii="Times New Roman" w:hAnsi="Times New Roman" w:cs="Times New Roman"/>
        </w:rPr>
        <w:t>9</w:t>
      </w:r>
      <w:r w:rsidRPr="00964972">
        <w:rPr>
          <w:rFonts w:ascii="Times New Roman" w:hAnsi="Times New Roman" w:cs="Times New Roman"/>
        </w:rPr>
        <w:t xml:space="preserve"> yılı </w:t>
      </w:r>
      <w:r>
        <w:rPr>
          <w:rFonts w:ascii="Times New Roman" w:hAnsi="Times New Roman" w:cs="Times New Roman"/>
        </w:rPr>
        <w:t>ilk çeyreklik sonunda</w:t>
      </w:r>
      <w:r w:rsidRPr="00964972">
        <w:rPr>
          <w:rFonts w:ascii="Times New Roman" w:hAnsi="Times New Roman" w:cs="Times New Roman"/>
        </w:rPr>
        <w:t>, 201</w:t>
      </w:r>
      <w:r>
        <w:rPr>
          <w:rFonts w:ascii="Times New Roman" w:hAnsi="Times New Roman" w:cs="Times New Roman"/>
        </w:rPr>
        <w:t>8</w:t>
      </w:r>
      <w:r w:rsidRPr="00964972">
        <w:rPr>
          <w:rFonts w:ascii="Times New Roman" w:hAnsi="Times New Roman" w:cs="Times New Roman"/>
        </w:rPr>
        <w:t xml:space="preserve"> yılsonuna göre </w:t>
      </w:r>
      <w:r>
        <w:rPr>
          <w:rFonts w:ascii="Times New Roman" w:hAnsi="Times New Roman" w:cs="Times New Roman"/>
        </w:rPr>
        <w:t>2,7</w:t>
      </w:r>
      <w:r w:rsidRPr="00964972">
        <w:rPr>
          <w:rFonts w:ascii="Times New Roman" w:hAnsi="Times New Roman" w:cs="Times New Roman"/>
        </w:rPr>
        <w:t xml:space="preserve"> mily</w:t>
      </w:r>
      <w:r>
        <w:rPr>
          <w:rFonts w:ascii="Times New Roman" w:hAnsi="Times New Roman" w:cs="Times New Roman"/>
        </w:rPr>
        <w:t>ar</w:t>
      </w:r>
      <w:r w:rsidRPr="00964972">
        <w:rPr>
          <w:rFonts w:ascii="Times New Roman" w:hAnsi="Times New Roman" w:cs="Times New Roman"/>
        </w:rPr>
        <w:t xml:space="preserve"> ABD doları a</w:t>
      </w:r>
      <w:r>
        <w:rPr>
          <w:rFonts w:ascii="Times New Roman" w:hAnsi="Times New Roman" w:cs="Times New Roman"/>
        </w:rPr>
        <w:t>zal</w:t>
      </w:r>
      <w:r w:rsidRPr="00964972">
        <w:rPr>
          <w:rFonts w:ascii="Times New Roman" w:hAnsi="Times New Roman" w:cs="Times New Roman"/>
        </w:rPr>
        <w:t xml:space="preserve">mış ve </w:t>
      </w:r>
      <w:r>
        <w:rPr>
          <w:rFonts w:ascii="Times New Roman" w:hAnsi="Times New Roman" w:cs="Times New Roman"/>
        </w:rPr>
        <w:t>8,7</w:t>
      </w:r>
      <w:r w:rsidRPr="00964972">
        <w:rPr>
          <w:rFonts w:ascii="Times New Roman" w:hAnsi="Times New Roman" w:cs="Times New Roman"/>
        </w:rPr>
        <w:t xml:space="preserve"> milyar ABD doları seviyesinde gerçekleşmiştir (Tablo 2).</w:t>
      </w:r>
    </w:p>
    <w:p w:rsidR="001D1AD8" w:rsidRPr="008E3B58" w:rsidRDefault="001D1AD8" w:rsidP="001D1AD8">
      <w:pPr>
        <w:jc w:val="both"/>
        <w:rPr>
          <w:rFonts w:ascii="Times New Roman" w:hAnsi="Times New Roman" w:cs="Times New Roman"/>
          <w:b/>
        </w:rPr>
      </w:pPr>
      <w:r w:rsidRPr="008E3B58">
        <w:rPr>
          <w:rFonts w:ascii="Times New Roman" w:hAnsi="Times New Roman" w:cs="Times New Roman"/>
          <w:b/>
        </w:rPr>
        <w:t>Tablo 2: Özel Sektörün Yurt Dışından Sağladığı Kısa Vadeli Kredi Borcu (borçlu ve alacaklıya göre dağılım)</w:t>
      </w:r>
    </w:p>
    <w:p w:rsidR="00562DDA" w:rsidRDefault="001D1AD8" w:rsidP="00833A80">
      <w:pPr>
        <w:jc w:val="center"/>
        <w:rPr>
          <w:rFonts w:ascii="Times New Roman" w:hAnsi="Times New Roman" w:cs="Times New Roman"/>
          <w:b/>
          <w:color w:val="1F4E79" w:themeColor="accent1" w:themeShade="80"/>
          <w:sz w:val="40"/>
          <w:szCs w:val="40"/>
        </w:rPr>
      </w:pPr>
      <w:r w:rsidRPr="00671AA2">
        <w:rPr>
          <w:noProof/>
        </w:rPr>
        <w:drawing>
          <wp:inline distT="0" distB="0" distL="0" distR="0" wp14:anchorId="11F11582" wp14:editId="68D2D7CB">
            <wp:extent cx="5760720" cy="343658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436584"/>
                    </a:xfrm>
                    <a:prstGeom prst="rect">
                      <a:avLst/>
                    </a:prstGeom>
                    <a:noFill/>
                    <a:ln>
                      <a:noFill/>
                    </a:ln>
                  </pic:spPr>
                </pic:pic>
              </a:graphicData>
            </a:graphic>
          </wp:inline>
        </w:drawing>
      </w:r>
    </w:p>
    <w:p w:rsidR="001D1AD8" w:rsidRPr="00964972" w:rsidRDefault="001D1AD8" w:rsidP="001D1AD8">
      <w:pPr>
        <w:jc w:val="both"/>
        <w:rPr>
          <w:rFonts w:ascii="Times New Roman" w:hAnsi="Times New Roman" w:cs="Times New Roman"/>
        </w:rPr>
      </w:pPr>
      <w:r w:rsidRPr="00964972">
        <w:rPr>
          <w:rFonts w:ascii="Times New Roman" w:hAnsi="Times New Roman" w:cs="Times New Roman"/>
          <w:b/>
        </w:rPr>
        <w:t>Bunların yanı sıra uzun vadeli kredi borcunun döviz kompozisyonuna bakıldığında, özel sektörün yurt dışından ağırlıklı olarak ABD doları cinsinden borçlandığı görülmektedir.</w:t>
      </w:r>
      <w:r w:rsidRPr="00964972">
        <w:rPr>
          <w:rFonts w:ascii="Times New Roman" w:hAnsi="Times New Roman" w:cs="Times New Roman"/>
        </w:rPr>
        <w:t xml:space="preserve"> ABD doları cinsinden borçların, toplam kredi borçları içindeki payı </w:t>
      </w:r>
      <w:r>
        <w:rPr>
          <w:rFonts w:ascii="Times New Roman" w:hAnsi="Times New Roman" w:cs="Times New Roman"/>
        </w:rPr>
        <w:t>2018 yılsonuna</w:t>
      </w:r>
      <w:r w:rsidRPr="00964972">
        <w:rPr>
          <w:rFonts w:ascii="Times New Roman" w:hAnsi="Times New Roman" w:cs="Times New Roman"/>
        </w:rPr>
        <w:t xml:space="preserve"> göre </w:t>
      </w:r>
      <w:r>
        <w:rPr>
          <w:rFonts w:ascii="Times New Roman" w:hAnsi="Times New Roman" w:cs="Times New Roman"/>
        </w:rPr>
        <w:t>1,5</w:t>
      </w:r>
      <w:r w:rsidRPr="00964972">
        <w:rPr>
          <w:rFonts w:ascii="Times New Roman" w:hAnsi="Times New Roman" w:cs="Times New Roman"/>
        </w:rPr>
        <w:t xml:space="preserve"> yüzde puan a</w:t>
      </w:r>
      <w:r>
        <w:rPr>
          <w:rFonts w:ascii="Times New Roman" w:hAnsi="Times New Roman" w:cs="Times New Roman"/>
        </w:rPr>
        <w:t>rt</w:t>
      </w:r>
      <w:r w:rsidRPr="00964972">
        <w:rPr>
          <w:rFonts w:ascii="Times New Roman" w:hAnsi="Times New Roman" w:cs="Times New Roman"/>
        </w:rPr>
        <w:t>mış ve 201</w:t>
      </w:r>
      <w:r>
        <w:rPr>
          <w:rFonts w:ascii="Times New Roman" w:hAnsi="Times New Roman" w:cs="Times New Roman"/>
        </w:rPr>
        <w:t>9</w:t>
      </w:r>
      <w:r w:rsidRPr="00964972">
        <w:rPr>
          <w:rFonts w:ascii="Times New Roman" w:hAnsi="Times New Roman" w:cs="Times New Roman"/>
        </w:rPr>
        <w:t xml:space="preserve"> yılı </w:t>
      </w:r>
      <w:r>
        <w:rPr>
          <w:rFonts w:ascii="Times New Roman" w:hAnsi="Times New Roman" w:cs="Times New Roman"/>
        </w:rPr>
        <w:t xml:space="preserve">ilk çeyreklik </w:t>
      </w:r>
      <w:r w:rsidRPr="00964972">
        <w:rPr>
          <w:rFonts w:ascii="Times New Roman" w:hAnsi="Times New Roman" w:cs="Times New Roman"/>
        </w:rPr>
        <w:t xml:space="preserve">itibarıyla </w:t>
      </w:r>
      <w:r>
        <w:rPr>
          <w:rFonts w:ascii="Times New Roman" w:hAnsi="Times New Roman" w:cs="Times New Roman"/>
        </w:rPr>
        <w:t>%60,8</w:t>
      </w:r>
      <w:r w:rsidRPr="00964972">
        <w:rPr>
          <w:rFonts w:ascii="Times New Roman" w:hAnsi="Times New Roman" w:cs="Times New Roman"/>
        </w:rPr>
        <w:t xml:space="preserve"> olmuştur. Bunun ardından sırasıyla, </w:t>
      </w:r>
      <w:r>
        <w:rPr>
          <w:rFonts w:ascii="Times New Roman" w:hAnsi="Times New Roman" w:cs="Times New Roman"/>
        </w:rPr>
        <w:t>%33,7 ile Euro, %4,1</w:t>
      </w:r>
      <w:r w:rsidRPr="00964972">
        <w:rPr>
          <w:rFonts w:ascii="Times New Roman" w:hAnsi="Times New Roman" w:cs="Times New Roman"/>
        </w:rPr>
        <w:t xml:space="preserve"> ile Türk Lirası ve %</w:t>
      </w:r>
      <w:r>
        <w:rPr>
          <w:rFonts w:ascii="Times New Roman" w:hAnsi="Times New Roman" w:cs="Times New Roman"/>
        </w:rPr>
        <w:t>1,4</w:t>
      </w:r>
      <w:r w:rsidRPr="00964972">
        <w:rPr>
          <w:rFonts w:ascii="Times New Roman" w:hAnsi="Times New Roman" w:cs="Times New Roman"/>
        </w:rPr>
        <w:t xml:space="preserve"> ile diğer dövizler gelmektedir (Şekil 2). </w:t>
      </w:r>
    </w:p>
    <w:p w:rsidR="00BC25C8" w:rsidRPr="00BC25C8" w:rsidRDefault="001D1AD8" w:rsidP="001D1AD8">
      <w:pPr>
        <w:jc w:val="both"/>
        <w:rPr>
          <w:rFonts w:ascii="Times New Roman" w:hAnsi="Times New Roman" w:cs="Times New Roman"/>
        </w:rPr>
      </w:pPr>
      <w:r w:rsidRPr="00964972">
        <w:rPr>
          <w:rFonts w:ascii="Times New Roman" w:hAnsi="Times New Roman" w:cs="Times New Roman"/>
          <w:b/>
        </w:rPr>
        <w:t xml:space="preserve">Kısa vadeli kredi borcunun döviz kompozisyonuna bakıldığında da ağırlığın ABD doları cinsinden kredilerde olduğu görülmektedir. </w:t>
      </w:r>
      <w:r w:rsidRPr="00964972">
        <w:rPr>
          <w:rFonts w:ascii="Times New Roman" w:hAnsi="Times New Roman" w:cs="Times New Roman"/>
        </w:rPr>
        <w:t xml:space="preserve">ABD doları cinsinden borçların, toplam kısa vadeli kredi borçları içindeki payı </w:t>
      </w:r>
      <w:r>
        <w:rPr>
          <w:rFonts w:ascii="Times New Roman" w:hAnsi="Times New Roman" w:cs="Times New Roman"/>
        </w:rPr>
        <w:t>2018 yılsonuna</w:t>
      </w:r>
      <w:r w:rsidRPr="00964972">
        <w:rPr>
          <w:rFonts w:ascii="Times New Roman" w:hAnsi="Times New Roman" w:cs="Times New Roman"/>
        </w:rPr>
        <w:t xml:space="preserve"> göre </w:t>
      </w:r>
      <w:r>
        <w:rPr>
          <w:rFonts w:ascii="Times New Roman" w:hAnsi="Times New Roman" w:cs="Times New Roman"/>
        </w:rPr>
        <w:t>0,2</w:t>
      </w:r>
      <w:r w:rsidRPr="00964972">
        <w:rPr>
          <w:rFonts w:ascii="Times New Roman" w:hAnsi="Times New Roman" w:cs="Times New Roman"/>
        </w:rPr>
        <w:t xml:space="preserve"> yüzde puan a</w:t>
      </w:r>
      <w:r>
        <w:rPr>
          <w:rFonts w:ascii="Times New Roman" w:hAnsi="Times New Roman" w:cs="Times New Roman"/>
        </w:rPr>
        <w:t>zalarak</w:t>
      </w:r>
      <w:r w:rsidRPr="00964972">
        <w:rPr>
          <w:rFonts w:ascii="Times New Roman" w:hAnsi="Times New Roman" w:cs="Times New Roman"/>
        </w:rPr>
        <w:t xml:space="preserve"> 201</w:t>
      </w:r>
      <w:r>
        <w:rPr>
          <w:rFonts w:ascii="Times New Roman" w:hAnsi="Times New Roman" w:cs="Times New Roman"/>
        </w:rPr>
        <w:t>9</w:t>
      </w:r>
      <w:r w:rsidRPr="00964972">
        <w:rPr>
          <w:rFonts w:ascii="Times New Roman" w:hAnsi="Times New Roman" w:cs="Times New Roman"/>
        </w:rPr>
        <w:t xml:space="preserve"> yılı </w:t>
      </w:r>
      <w:r>
        <w:rPr>
          <w:rFonts w:ascii="Times New Roman" w:hAnsi="Times New Roman" w:cs="Times New Roman"/>
        </w:rPr>
        <w:t>ilk çeyreklik itibarıyla %43,2</w:t>
      </w:r>
      <w:r w:rsidRPr="00964972">
        <w:rPr>
          <w:rFonts w:ascii="Times New Roman" w:hAnsi="Times New Roman" w:cs="Times New Roman"/>
        </w:rPr>
        <w:t xml:space="preserve"> olmuştur. Bunun ardından </w:t>
      </w:r>
      <w:r>
        <w:rPr>
          <w:rFonts w:ascii="Times New Roman" w:hAnsi="Times New Roman" w:cs="Times New Roman"/>
        </w:rPr>
        <w:t>sırasıyla, %35,5</w:t>
      </w:r>
      <w:r w:rsidRPr="00964972">
        <w:rPr>
          <w:rFonts w:ascii="Times New Roman" w:hAnsi="Times New Roman" w:cs="Times New Roman"/>
        </w:rPr>
        <w:t xml:space="preserve"> ile Euro, %</w:t>
      </w:r>
      <w:r>
        <w:rPr>
          <w:rFonts w:ascii="Times New Roman" w:hAnsi="Times New Roman" w:cs="Times New Roman"/>
        </w:rPr>
        <w:t xml:space="preserve">20,9 </w:t>
      </w:r>
      <w:r w:rsidRPr="00964972">
        <w:rPr>
          <w:rFonts w:ascii="Times New Roman" w:hAnsi="Times New Roman" w:cs="Times New Roman"/>
        </w:rPr>
        <w:t>ile Türk Lirası ve %0,</w:t>
      </w:r>
      <w:r>
        <w:rPr>
          <w:rFonts w:ascii="Times New Roman" w:hAnsi="Times New Roman" w:cs="Times New Roman"/>
        </w:rPr>
        <w:t>4</w:t>
      </w:r>
      <w:r w:rsidRPr="00964972">
        <w:rPr>
          <w:rFonts w:ascii="Times New Roman" w:hAnsi="Times New Roman" w:cs="Times New Roman"/>
        </w:rPr>
        <w:t xml:space="preserve"> ile de diğer dövizler gelmektedir (Şekil 2).</w:t>
      </w:r>
    </w:p>
    <w:p w:rsidR="006406AC" w:rsidRDefault="006406AC" w:rsidP="001D1AD8">
      <w:pPr>
        <w:jc w:val="both"/>
        <w:rPr>
          <w:rFonts w:ascii="Times New Roman" w:hAnsi="Times New Roman" w:cs="Times New Roman"/>
          <w:b/>
        </w:rPr>
      </w:pPr>
    </w:p>
    <w:p w:rsidR="006406AC" w:rsidRDefault="006406AC" w:rsidP="001D1AD8">
      <w:pPr>
        <w:jc w:val="both"/>
        <w:rPr>
          <w:rFonts w:ascii="Times New Roman" w:hAnsi="Times New Roman" w:cs="Times New Roman"/>
          <w:b/>
        </w:rPr>
      </w:pPr>
    </w:p>
    <w:p w:rsidR="006406AC" w:rsidRDefault="006406AC" w:rsidP="001D1AD8">
      <w:pPr>
        <w:jc w:val="both"/>
        <w:rPr>
          <w:rFonts w:ascii="Times New Roman" w:hAnsi="Times New Roman" w:cs="Times New Roman"/>
          <w:b/>
        </w:rPr>
      </w:pPr>
    </w:p>
    <w:p w:rsidR="006406AC" w:rsidRDefault="006406AC" w:rsidP="001D1AD8">
      <w:pPr>
        <w:jc w:val="both"/>
        <w:rPr>
          <w:rFonts w:ascii="Times New Roman" w:hAnsi="Times New Roman" w:cs="Times New Roman"/>
          <w:b/>
        </w:rPr>
      </w:pPr>
    </w:p>
    <w:p w:rsidR="006406AC" w:rsidRDefault="006406AC" w:rsidP="001D1AD8">
      <w:pPr>
        <w:jc w:val="both"/>
        <w:rPr>
          <w:rFonts w:ascii="Times New Roman" w:hAnsi="Times New Roman" w:cs="Times New Roman"/>
          <w:b/>
        </w:rPr>
      </w:pPr>
    </w:p>
    <w:p w:rsidR="006406AC" w:rsidRDefault="006406AC" w:rsidP="001D1AD8">
      <w:pPr>
        <w:jc w:val="both"/>
        <w:rPr>
          <w:rFonts w:ascii="Times New Roman" w:hAnsi="Times New Roman" w:cs="Times New Roman"/>
          <w:b/>
        </w:rPr>
      </w:pPr>
    </w:p>
    <w:p w:rsidR="001D1AD8" w:rsidRDefault="001D1AD8" w:rsidP="001D1AD8">
      <w:pPr>
        <w:jc w:val="both"/>
        <w:rPr>
          <w:rFonts w:ascii="Times New Roman" w:hAnsi="Times New Roman" w:cs="Times New Roman"/>
          <w:b/>
        </w:rPr>
      </w:pPr>
      <w:r w:rsidRPr="008E3B58">
        <w:rPr>
          <w:rFonts w:ascii="Times New Roman" w:hAnsi="Times New Roman" w:cs="Times New Roman"/>
          <w:b/>
        </w:rPr>
        <w:lastRenderedPageBreak/>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Pr>
          <w:rFonts w:ascii="Times New Roman" w:hAnsi="Times New Roman" w:cs="Times New Roman"/>
          <w:b/>
          <w:noProof/>
        </w:rPr>
        <w:t>2</w:t>
      </w:r>
      <w:r w:rsidRPr="008E3B58">
        <w:rPr>
          <w:rFonts w:ascii="Times New Roman" w:hAnsi="Times New Roman" w:cs="Times New Roman"/>
          <w:b/>
        </w:rPr>
        <w:fldChar w:fldCharType="end"/>
      </w:r>
      <w:r w:rsidRPr="008E3B58">
        <w:rPr>
          <w:rFonts w:ascii="Times New Roman" w:hAnsi="Times New Roman" w:cs="Times New Roman"/>
          <w:b/>
        </w:rPr>
        <w:t>: Özel Sektörün Yurt Dışından Borçlandığı Kredilerin Döviz Kompozisyonu (</w:t>
      </w:r>
      <w:r>
        <w:rPr>
          <w:rFonts w:ascii="Times New Roman" w:hAnsi="Times New Roman" w:cs="Times New Roman"/>
          <w:b/>
        </w:rPr>
        <w:t>Q1:2019</w:t>
      </w:r>
      <w:r w:rsidRPr="008E3B58">
        <w:rPr>
          <w:rFonts w:ascii="Times New Roman" w:hAnsi="Times New Roman" w:cs="Times New Roman"/>
          <w:b/>
        </w:rPr>
        <w:t>, yüzde dağılım)</w:t>
      </w:r>
    </w:p>
    <w:p w:rsidR="001D1AD8" w:rsidRDefault="001D1AD8" w:rsidP="001D1AD8">
      <w:pPr>
        <w:jc w:val="both"/>
        <w:rPr>
          <w:noProof/>
        </w:rPr>
      </w:pPr>
      <w:r w:rsidRPr="00671AA2">
        <w:rPr>
          <w:noProof/>
        </w:rPr>
        <w:drawing>
          <wp:inline distT="0" distB="0" distL="0" distR="0" wp14:anchorId="4E7CF1FF" wp14:editId="2A5C9F80">
            <wp:extent cx="5972459" cy="223424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520" cy="2244739"/>
                    </a:xfrm>
                    <a:prstGeom prst="rect">
                      <a:avLst/>
                    </a:prstGeom>
                    <a:noFill/>
                    <a:ln>
                      <a:noFill/>
                    </a:ln>
                  </pic:spPr>
                </pic:pic>
              </a:graphicData>
            </a:graphic>
          </wp:inline>
        </w:drawing>
      </w:r>
    </w:p>
    <w:p w:rsidR="001D1AD8" w:rsidRPr="00C044D5" w:rsidRDefault="001D1AD8" w:rsidP="001D1AD8">
      <w:pPr>
        <w:jc w:val="both"/>
        <w:rPr>
          <w:rFonts w:ascii="Times New Roman" w:hAnsi="Times New Roman" w:cs="Times New Roman"/>
          <w:b/>
        </w:rPr>
      </w:pPr>
      <w:r w:rsidRPr="00A22487">
        <w:rPr>
          <w:rFonts w:ascii="Times New Roman" w:hAnsi="Times New Roman" w:cs="Times New Roman"/>
          <w:sz w:val="18"/>
          <w:szCs w:val="18"/>
        </w:rPr>
        <w:t>Kaynak: TCMB</w:t>
      </w:r>
    </w:p>
    <w:p w:rsidR="001D1AD8" w:rsidRDefault="001D1AD8" w:rsidP="001D1AD8">
      <w:pPr>
        <w:jc w:val="both"/>
        <w:rPr>
          <w:rFonts w:ascii="Times New Roman" w:hAnsi="Times New Roman" w:cs="Times New Roman"/>
        </w:rPr>
      </w:pPr>
      <w:r>
        <w:rPr>
          <w:rFonts w:ascii="Times New Roman" w:hAnsi="Times New Roman" w:cs="Times New Roman"/>
        </w:rPr>
        <w:t xml:space="preserve">2019 yılı ilk çeyreklik </w:t>
      </w:r>
      <w:r w:rsidRPr="000B7AD4">
        <w:rPr>
          <w:rFonts w:ascii="Times New Roman" w:hAnsi="Times New Roman" w:cs="Times New Roman"/>
        </w:rPr>
        <w:t>itibarıyla özel sektörün uzun vadeli fina</w:t>
      </w:r>
      <w:r>
        <w:rPr>
          <w:rFonts w:ascii="Times New Roman" w:hAnsi="Times New Roman" w:cs="Times New Roman"/>
        </w:rPr>
        <w:t>nsal olmayan kredi borcunun %63,3’ü hizmetler, %36,2’si sanayi ve %0,5’i de</w:t>
      </w:r>
      <w:r w:rsidRPr="000B7AD4">
        <w:rPr>
          <w:rFonts w:ascii="Times New Roman" w:hAnsi="Times New Roman" w:cs="Times New Roman"/>
        </w:rPr>
        <w:t xml:space="preserve"> tarım sektörü tarafından kullanılmıştır. </w:t>
      </w:r>
      <w:r>
        <w:rPr>
          <w:rFonts w:ascii="Times New Roman" w:hAnsi="Times New Roman" w:cs="Times New Roman"/>
        </w:rPr>
        <w:t>2000’li yılların başlarından 2007 yılına kadar kredi borcunda sanayi sektörü öne çıkarken, 2007 yılından itibaren hizmetler sektörünün uzun vadeli borçlanmadaki payı artmaya başlamıştır (Şekil 3a).</w:t>
      </w:r>
    </w:p>
    <w:p w:rsidR="001D1AD8" w:rsidRDefault="001D1AD8" w:rsidP="001D1AD8">
      <w:pPr>
        <w:jc w:val="both"/>
        <w:rPr>
          <w:rFonts w:ascii="Times New Roman" w:hAnsi="Times New Roman" w:cs="Times New Roman"/>
        </w:rPr>
      </w:pPr>
      <w:r w:rsidRPr="000B7AD4">
        <w:rPr>
          <w:rFonts w:ascii="Times New Roman" w:hAnsi="Times New Roman" w:cs="Times New Roman"/>
        </w:rPr>
        <w:t>Kısa vadeli finansal olmayan kredi borcunun</w:t>
      </w:r>
      <w:r w:rsidRPr="00F90EAF">
        <w:rPr>
          <w:rFonts w:ascii="Times New Roman" w:hAnsi="Times New Roman" w:cs="Times New Roman"/>
        </w:rPr>
        <w:t xml:space="preserve"> </w:t>
      </w:r>
      <w:proofErr w:type="spellStart"/>
      <w:r w:rsidRPr="00F90EAF">
        <w:rPr>
          <w:rFonts w:ascii="Times New Roman" w:hAnsi="Times New Roman" w:cs="Times New Roman"/>
        </w:rPr>
        <w:t>sektörel</w:t>
      </w:r>
      <w:proofErr w:type="spellEnd"/>
      <w:r w:rsidRPr="00F90EAF">
        <w:rPr>
          <w:rFonts w:ascii="Times New Roman" w:hAnsi="Times New Roman" w:cs="Times New Roman"/>
        </w:rPr>
        <w:t xml:space="preserve"> dağılı</w:t>
      </w:r>
      <w:r>
        <w:rPr>
          <w:rFonts w:ascii="Times New Roman" w:hAnsi="Times New Roman" w:cs="Times New Roman"/>
        </w:rPr>
        <w:t xml:space="preserve">mına bakıldığında </w:t>
      </w:r>
      <w:r w:rsidRPr="00F90EAF">
        <w:rPr>
          <w:rFonts w:ascii="Times New Roman" w:hAnsi="Times New Roman" w:cs="Times New Roman"/>
        </w:rPr>
        <w:t>sanayi sektörü</w:t>
      </w:r>
      <w:r>
        <w:rPr>
          <w:rFonts w:ascii="Times New Roman" w:hAnsi="Times New Roman" w:cs="Times New Roman"/>
        </w:rPr>
        <w:t xml:space="preserve">nün payını 2018 yılsonuna göre payını 1,3 yüzde puan arttığı görülmektedir. </w:t>
      </w:r>
      <w:r w:rsidRPr="00F90EAF">
        <w:rPr>
          <w:rFonts w:ascii="Times New Roman" w:hAnsi="Times New Roman" w:cs="Times New Roman"/>
        </w:rPr>
        <w:t>Sanayi sektörü tarafından kullanılan kredilerin, kısa vadeli finansal olmayan krediler içindeki payı 201</w:t>
      </w:r>
      <w:r>
        <w:rPr>
          <w:rFonts w:ascii="Times New Roman" w:hAnsi="Times New Roman" w:cs="Times New Roman"/>
        </w:rPr>
        <w:t>9</w:t>
      </w:r>
      <w:r w:rsidRPr="00F90EAF">
        <w:rPr>
          <w:rFonts w:ascii="Times New Roman" w:hAnsi="Times New Roman" w:cs="Times New Roman"/>
        </w:rPr>
        <w:t xml:space="preserve"> </w:t>
      </w:r>
      <w:r>
        <w:rPr>
          <w:rFonts w:ascii="Times New Roman" w:hAnsi="Times New Roman" w:cs="Times New Roman"/>
        </w:rPr>
        <w:t xml:space="preserve">yılı ilk çeyreklik </w:t>
      </w:r>
      <w:r w:rsidRPr="00F90EAF">
        <w:rPr>
          <w:rFonts w:ascii="Times New Roman" w:hAnsi="Times New Roman" w:cs="Times New Roman"/>
        </w:rPr>
        <w:t>itibar</w:t>
      </w:r>
      <w:r>
        <w:rPr>
          <w:rFonts w:ascii="Times New Roman" w:hAnsi="Times New Roman" w:cs="Times New Roman"/>
        </w:rPr>
        <w:t>ıyla %70,6</w:t>
      </w:r>
      <w:r w:rsidRPr="00F90EAF">
        <w:rPr>
          <w:rFonts w:ascii="Times New Roman" w:hAnsi="Times New Roman" w:cs="Times New Roman"/>
        </w:rPr>
        <w:t xml:space="preserve"> olarak gerçekleşmiştir. Hizmetler ve tarım sektörle</w:t>
      </w:r>
      <w:r>
        <w:rPr>
          <w:rFonts w:ascii="Times New Roman" w:hAnsi="Times New Roman" w:cs="Times New Roman"/>
        </w:rPr>
        <w:t>rinin payları ise sırasıyla, %28,6 ve %0,8’dir (Şekil 3b)</w:t>
      </w:r>
      <w:r w:rsidRPr="00F90EAF">
        <w:rPr>
          <w:rFonts w:ascii="Times New Roman" w:hAnsi="Times New Roman" w:cs="Times New Roman"/>
        </w:rPr>
        <w:t>.</w:t>
      </w:r>
    </w:p>
    <w:p w:rsidR="001D1AD8" w:rsidRDefault="001D1AD8" w:rsidP="001D1AD8">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bCs/>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bCs/>
        </w:rPr>
        <w:fldChar w:fldCharType="separate"/>
      </w:r>
      <w:r>
        <w:rPr>
          <w:rFonts w:ascii="Times New Roman" w:hAnsi="Times New Roman" w:cs="Times New Roman"/>
          <w:b/>
          <w:noProof/>
        </w:rPr>
        <w:t>3</w:t>
      </w:r>
      <w:r w:rsidRPr="008E3B58">
        <w:rPr>
          <w:rFonts w:ascii="Times New Roman" w:hAnsi="Times New Roman" w:cs="Times New Roman"/>
          <w:b/>
          <w:bCs/>
        </w:rPr>
        <w:fldChar w:fldCharType="end"/>
      </w:r>
      <w:r w:rsidRPr="008E3B58">
        <w:rPr>
          <w:rFonts w:ascii="Times New Roman" w:hAnsi="Times New Roman" w:cs="Times New Roman"/>
          <w:b/>
        </w:rPr>
        <w:t>a: Özel Sektörün Yurt Dışından Sağladığı Uzun Vadeli Kredi Borcun</w:t>
      </w:r>
      <w:r>
        <w:rPr>
          <w:rFonts w:ascii="Times New Roman" w:hAnsi="Times New Roman" w:cs="Times New Roman"/>
          <w:b/>
        </w:rPr>
        <w:t>un Sektör Dağılımı (2004- Q1:</w:t>
      </w:r>
      <w:r>
        <w:rPr>
          <w:rFonts w:ascii="Times New Roman" w:hAnsi="Times New Roman" w:cs="Times New Roman"/>
          <w:b/>
          <w:bCs/>
        </w:rPr>
        <w:t>2019;</w:t>
      </w:r>
      <w:r w:rsidRPr="008E3B58">
        <w:rPr>
          <w:rFonts w:ascii="Times New Roman" w:hAnsi="Times New Roman" w:cs="Times New Roman"/>
          <w:b/>
        </w:rPr>
        <w:t xml:space="preserve"> yüzde)</w:t>
      </w:r>
    </w:p>
    <w:p w:rsidR="001D1AD8" w:rsidRPr="007D73CE" w:rsidRDefault="001D1AD8" w:rsidP="001D1AD8">
      <w:pPr>
        <w:jc w:val="both"/>
        <w:rPr>
          <w:rFonts w:ascii="Times New Roman" w:hAnsi="Times New Roman" w:cs="Times New Roman"/>
          <w:b/>
        </w:rPr>
      </w:pPr>
      <w:r w:rsidRPr="001C4F5F">
        <w:rPr>
          <w:noProof/>
        </w:rPr>
        <w:drawing>
          <wp:inline distT="0" distB="0" distL="0" distR="0" wp14:anchorId="121AF9EB" wp14:editId="2FF275BA">
            <wp:extent cx="5972805" cy="2447925"/>
            <wp:effectExtent l="0" t="0" r="952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700" cy="2448702"/>
                    </a:xfrm>
                    <a:prstGeom prst="rect">
                      <a:avLst/>
                    </a:prstGeom>
                    <a:noFill/>
                    <a:ln>
                      <a:noFill/>
                    </a:ln>
                  </pic:spPr>
                </pic:pic>
              </a:graphicData>
            </a:graphic>
          </wp:inline>
        </w:drawing>
      </w:r>
    </w:p>
    <w:p w:rsidR="001D1AD8" w:rsidRDefault="001D1AD8" w:rsidP="001D1AD8">
      <w:pPr>
        <w:pStyle w:val="ResimYazs"/>
        <w:keepNext/>
        <w:jc w:val="both"/>
        <w:rPr>
          <w:rFonts w:ascii="Times New Roman" w:hAnsi="Times New Roman" w:cs="Times New Roman"/>
          <w:bCs w:val="0"/>
          <w:color w:val="auto"/>
          <w:sz w:val="22"/>
          <w:szCs w:val="22"/>
        </w:rPr>
      </w:pPr>
      <w:r w:rsidRPr="008E3B58">
        <w:rPr>
          <w:rFonts w:ascii="Times New Roman" w:hAnsi="Times New Roman" w:cs="Times New Roman"/>
          <w:bCs w:val="0"/>
          <w:color w:val="auto"/>
          <w:sz w:val="22"/>
          <w:szCs w:val="22"/>
        </w:rPr>
        <w:lastRenderedPageBreak/>
        <w:t>Şekil 3b: Özel Sektörün Yurt Dışından Sağladığı Kısa Vadeli Kredi Borcunun Sektör Dağılımı (2004-</w:t>
      </w:r>
      <w:r>
        <w:rPr>
          <w:rFonts w:ascii="Times New Roman" w:hAnsi="Times New Roman" w:cs="Times New Roman"/>
          <w:bCs w:val="0"/>
          <w:color w:val="auto"/>
          <w:sz w:val="22"/>
          <w:szCs w:val="22"/>
        </w:rPr>
        <w:t xml:space="preserve"> Q1:2019, </w:t>
      </w:r>
      <w:r w:rsidRPr="008E3B58">
        <w:rPr>
          <w:rFonts w:ascii="Times New Roman" w:hAnsi="Times New Roman" w:cs="Times New Roman"/>
          <w:bCs w:val="0"/>
          <w:color w:val="auto"/>
          <w:sz w:val="22"/>
          <w:szCs w:val="22"/>
        </w:rPr>
        <w:t>yüzde)</w:t>
      </w:r>
    </w:p>
    <w:p w:rsidR="001D1AD8" w:rsidRDefault="001D1AD8" w:rsidP="001D1AD8">
      <w:pPr>
        <w:rPr>
          <w:noProof/>
        </w:rPr>
      </w:pPr>
      <w:r w:rsidRPr="001C4F5F">
        <w:rPr>
          <w:noProof/>
        </w:rPr>
        <w:drawing>
          <wp:inline distT="0" distB="0" distL="0" distR="0" wp14:anchorId="039B33BF" wp14:editId="741CCB53">
            <wp:extent cx="5972782" cy="2657475"/>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0098" cy="2660730"/>
                    </a:xfrm>
                    <a:prstGeom prst="rect">
                      <a:avLst/>
                    </a:prstGeom>
                    <a:noFill/>
                    <a:ln>
                      <a:noFill/>
                    </a:ln>
                  </pic:spPr>
                </pic:pic>
              </a:graphicData>
            </a:graphic>
          </wp:inline>
        </w:drawing>
      </w:r>
    </w:p>
    <w:p w:rsidR="001D1AD8" w:rsidRPr="00344948" w:rsidRDefault="001D1AD8" w:rsidP="001D1AD8">
      <w:pPr>
        <w:rPr>
          <w:noProof/>
        </w:rPr>
      </w:pPr>
      <w:r w:rsidRPr="00A22487">
        <w:rPr>
          <w:rFonts w:ascii="Times New Roman" w:hAnsi="Times New Roman" w:cs="Times New Roman"/>
          <w:sz w:val="18"/>
          <w:szCs w:val="18"/>
        </w:rPr>
        <w:t>Kaynak: TCMB</w:t>
      </w:r>
    </w:p>
    <w:p w:rsidR="001D1AD8" w:rsidRPr="00341046" w:rsidRDefault="001D1AD8" w:rsidP="001D1AD8">
      <w:pPr>
        <w:jc w:val="both"/>
        <w:rPr>
          <w:rFonts w:ascii="Times New Roman" w:hAnsi="Times New Roman" w:cs="Times New Roman"/>
        </w:rPr>
      </w:pPr>
      <w:r w:rsidRPr="00F90EAF">
        <w:rPr>
          <w:rFonts w:ascii="Times New Roman" w:hAnsi="Times New Roman" w:cs="Times New Roman"/>
        </w:rPr>
        <w:t>Son olarak özel sektörün yurt dışından sağla</w:t>
      </w:r>
      <w:r>
        <w:rPr>
          <w:rFonts w:ascii="Times New Roman" w:hAnsi="Times New Roman" w:cs="Times New Roman"/>
        </w:rPr>
        <w:t>dığı kredi borcu 2019 yılı ilk çeyreklik</w:t>
      </w:r>
      <w:r w:rsidRPr="00F90EAF">
        <w:rPr>
          <w:rFonts w:ascii="Times New Roman" w:hAnsi="Times New Roman" w:cs="Times New Roman"/>
        </w:rPr>
        <w:t xml:space="preserve"> itibarıyla kalan vadeye göre incelendiğinde, 1 yıl içinde toplam </w:t>
      </w:r>
      <w:r>
        <w:rPr>
          <w:rFonts w:ascii="Times New Roman" w:hAnsi="Times New Roman" w:cs="Times New Roman"/>
        </w:rPr>
        <w:t xml:space="preserve">60,4 </w:t>
      </w:r>
      <w:r w:rsidRPr="00F90EAF">
        <w:rPr>
          <w:rFonts w:ascii="Times New Roman" w:hAnsi="Times New Roman" w:cs="Times New Roman"/>
        </w:rPr>
        <w:t>milyar ABD doları kadar anapara geri ödemesi ge</w:t>
      </w:r>
      <w:r>
        <w:rPr>
          <w:rFonts w:ascii="Times New Roman" w:hAnsi="Times New Roman" w:cs="Times New Roman"/>
        </w:rPr>
        <w:t>rçekleştirileceği görülmektedir.</w:t>
      </w:r>
    </w:p>
    <w:p w:rsidR="001D1AD8" w:rsidRPr="008E3B58" w:rsidRDefault="001D1AD8" w:rsidP="001D1AD8">
      <w:pPr>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Pr>
          <w:rFonts w:ascii="Times New Roman" w:hAnsi="Times New Roman" w:cs="Times New Roman"/>
          <w:b/>
          <w:noProof/>
        </w:rPr>
        <w:t>4</w:t>
      </w:r>
      <w:r w:rsidRPr="008E3B58">
        <w:rPr>
          <w:rFonts w:ascii="Times New Roman" w:hAnsi="Times New Roman" w:cs="Times New Roman"/>
          <w:b/>
        </w:rPr>
        <w:fldChar w:fldCharType="end"/>
      </w:r>
      <w:r w:rsidRPr="008E3B58">
        <w:rPr>
          <w:rFonts w:ascii="Times New Roman" w:hAnsi="Times New Roman" w:cs="Times New Roman"/>
          <w:b/>
        </w:rPr>
        <w:t>: Özel Sektörün Yurt Dışından Sağladığı Kalan Vadesi 1 Yıla Kadar Olan Toplam Kredi Borcunun Aylara Göre Dağılımı (Ticari krediler hariç) (Milyar ABD Doları)</w:t>
      </w:r>
    </w:p>
    <w:p w:rsidR="001D1AD8" w:rsidRDefault="001D1AD8" w:rsidP="001D1AD8">
      <w:pPr>
        <w:spacing w:after="0" w:line="240" w:lineRule="auto"/>
        <w:rPr>
          <w:rFonts w:ascii="Times New Roman" w:hAnsi="Times New Roman" w:cs="Times New Roman"/>
        </w:rPr>
      </w:pPr>
      <w:r w:rsidRPr="001C4F5F">
        <w:rPr>
          <w:noProof/>
        </w:rPr>
        <w:drawing>
          <wp:inline distT="0" distB="0" distL="0" distR="0" wp14:anchorId="0FB11E0D" wp14:editId="18DA859C">
            <wp:extent cx="5972810" cy="2486081"/>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2486081"/>
                    </a:xfrm>
                    <a:prstGeom prst="rect">
                      <a:avLst/>
                    </a:prstGeom>
                    <a:noFill/>
                    <a:ln>
                      <a:noFill/>
                    </a:ln>
                  </pic:spPr>
                </pic:pic>
              </a:graphicData>
            </a:graphic>
          </wp:inline>
        </w:drawing>
      </w:r>
    </w:p>
    <w:p w:rsidR="001D1AD8" w:rsidRPr="00F90EAF" w:rsidRDefault="001D1AD8" w:rsidP="001D1AD8">
      <w:pPr>
        <w:spacing w:after="0" w:line="240" w:lineRule="auto"/>
        <w:rPr>
          <w:rFonts w:ascii="Times New Roman" w:hAnsi="Times New Roman" w:cs="Times New Roman"/>
        </w:rPr>
      </w:pPr>
    </w:p>
    <w:p w:rsidR="001D1AD8" w:rsidRPr="00A22487" w:rsidRDefault="001D1AD8" w:rsidP="001D1AD8">
      <w:pPr>
        <w:spacing w:after="0" w:line="240" w:lineRule="auto"/>
        <w:rPr>
          <w:rFonts w:ascii="Times New Roman" w:hAnsi="Times New Roman" w:cs="Times New Roman"/>
          <w:sz w:val="18"/>
          <w:szCs w:val="18"/>
        </w:rPr>
      </w:pPr>
      <w:r w:rsidRPr="00A22487">
        <w:rPr>
          <w:rFonts w:ascii="Times New Roman" w:hAnsi="Times New Roman" w:cs="Times New Roman"/>
          <w:sz w:val="18"/>
          <w:szCs w:val="18"/>
        </w:rPr>
        <w:t>Kaynak: TCMB</w:t>
      </w:r>
      <w:r w:rsidR="00A1164E">
        <w:rPr>
          <w:rFonts w:ascii="Times New Roman" w:hAnsi="Times New Roman" w:cs="Times New Roman"/>
          <w:sz w:val="18"/>
          <w:szCs w:val="18"/>
        </w:rPr>
        <w:t>, TEPAV</w:t>
      </w:r>
    </w:p>
    <w:p w:rsidR="00562DDA" w:rsidRDefault="00562DDA" w:rsidP="00833A80">
      <w:pPr>
        <w:jc w:val="center"/>
        <w:rPr>
          <w:rFonts w:ascii="Times New Roman" w:hAnsi="Times New Roman" w:cs="Times New Roman"/>
          <w:b/>
          <w:color w:val="1F4E79" w:themeColor="accent1" w:themeShade="80"/>
          <w:sz w:val="40"/>
          <w:szCs w:val="40"/>
        </w:rPr>
      </w:pPr>
    </w:p>
    <w:p w:rsidR="001D1AD8" w:rsidRDefault="001D1AD8" w:rsidP="00833A80">
      <w:pPr>
        <w:jc w:val="center"/>
        <w:rPr>
          <w:rFonts w:ascii="Times New Roman" w:hAnsi="Times New Roman" w:cs="Times New Roman"/>
          <w:b/>
          <w:color w:val="1F4E79" w:themeColor="accent1" w:themeShade="80"/>
          <w:sz w:val="40"/>
          <w:szCs w:val="40"/>
        </w:rPr>
      </w:pPr>
    </w:p>
    <w:p w:rsidR="001D1AD8" w:rsidRDefault="001D1AD8" w:rsidP="00833A80">
      <w:pPr>
        <w:jc w:val="center"/>
        <w:rPr>
          <w:rFonts w:ascii="Times New Roman" w:hAnsi="Times New Roman" w:cs="Times New Roman"/>
          <w:b/>
          <w:color w:val="1F4E79" w:themeColor="accent1" w:themeShade="80"/>
          <w:sz w:val="40"/>
          <w:szCs w:val="40"/>
        </w:rPr>
      </w:pPr>
    </w:p>
    <w:tbl>
      <w:tblPr>
        <w:tblW w:w="493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79"/>
      </w:tblGrid>
      <w:tr w:rsidR="00635588" w:rsidTr="00345749">
        <w:trPr>
          <w:trHeight w:val="903"/>
        </w:trPr>
        <w:tc>
          <w:tcPr>
            <w:tcW w:w="8952" w:type="dxa"/>
            <w:vAlign w:val="center"/>
          </w:tcPr>
          <w:p w:rsidR="00635588" w:rsidRDefault="00635588" w:rsidP="00954A74">
            <w:pPr>
              <w:pStyle w:val="stbilgi"/>
              <w:jc w:val="both"/>
              <w:rPr>
                <w:rFonts w:asciiTheme="majorHAnsi" w:eastAsiaTheme="majorEastAsia" w:hAnsiTheme="majorHAnsi" w:cstheme="majorBidi"/>
                <w:sz w:val="36"/>
                <w:szCs w:val="36"/>
              </w:rPr>
            </w:pPr>
            <w:r>
              <w:rPr>
                <w:rFonts w:asciiTheme="majorHAnsi" w:eastAsiaTheme="majorEastAsia" w:hAnsiTheme="majorHAnsi" w:cstheme="majorBidi"/>
                <w:sz w:val="36"/>
                <w:szCs w:val="36"/>
              </w:rPr>
              <w:lastRenderedPageBreak/>
              <w:t>Şubat 2019</w:t>
            </w:r>
          </w:p>
          <w:p w:rsidR="00635588" w:rsidRPr="00635588" w:rsidRDefault="00635588" w:rsidP="00635588">
            <w:pPr>
              <w:pStyle w:val="stbilgi"/>
              <w:jc w:val="both"/>
              <w:rPr>
                <w:rFonts w:asciiTheme="majorHAnsi" w:eastAsiaTheme="majorEastAsia" w:hAnsiTheme="majorHAnsi" w:cstheme="majorBidi"/>
                <w:sz w:val="36"/>
                <w:szCs w:val="36"/>
              </w:rPr>
            </w:pPr>
            <w:proofErr w:type="spellStart"/>
            <w:r>
              <w:rPr>
                <w:rFonts w:asciiTheme="majorHAnsi" w:eastAsiaTheme="majorEastAsia" w:hAnsiTheme="majorHAnsi" w:cstheme="majorBidi"/>
                <w:sz w:val="36"/>
                <w:szCs w:val="36"/>
              </w:rPr>
              <w:t>Hanehalkı</w:t>
            </w:r>
            <w:proofErr w:type="spellEnd"/>
            <w:r>
              <w:rPr>
                <w:rFonts w:asciiTheme="majorHAnsi" w:eastAsiaTheme="majorEastAsia" w:hAnsiTheme="majorHAnsi" w:cstheme="majorBidi"/>
                <w:sz w:val="36"/>
                <w:szCs w:val="36"/>
              </w:rPr>
              <w:t xml:space="preserve"> İşgücü İstatistikleri</w:t>
            </w:r>
          </w:p>
        </w:tc>
      </w:tr>
    </w:tbl>
    <w:p w:rsidR="00635588" w:rsidRDefault="00635588" w:rsidP="00635588">
      <w:pPr>
        <w:spacing w:line="360" w:lineRule="auto"/>
        <w:jc w:val="both"/>
        <w:rPr>
          <w:rFonts w:ascii="Times New Roman" w:hAnsi="Times New Roman" w:cs="Times New Roman"/>
          <w:b/>
        </w:rPr>
      </w:pPr>
    </w:p>
    <w:p w:rsidR="00635588" w:rsidRPr="006B2D78" w:rsidRDefault="00635588" w:rsidP="00635588">
      <w:pPr>
        <w:spacing w:line="360" w:lineRule="auto"/>
        <w:jc w:val="both"/>
        <w:rPr>
          <w:rFonts w:ascii="Times New Roman" w:hAnsi="Times New Roman" w:cs="Times New Roman"/>
          <w:b/>
        </w:rPr>
      </w:pPr>
      <w:r>
        <w:rPr>
          <w:rFonts w:ascii="Times New Roman" w:hAnsi="Times New Roman" w:cs="Times New Roman"/>
          <w:b/>
        </w:rPr>
        <w:t>2019 Şubat ayı</w:t>
      </w:r>
      <w:r w:rsidRPr="006B2D78">
        <w:rPr>
          <w:rFonts w:ascii="Times New Roman" w:hAnsi="Times New Roman" w:cs="Times New Roman"/>
          <w:b/>
        </w:rPr>
        <w:t xml:space="preserve"> </w:t>
      </w:r>
      <w:proofErr w:type="spellStart"/>
      <w:r>
        <w:rPr>
          <w:rFonts w:ascii="Times New Roman" w:hAnsi="Times New Roman" w:cs="Times New Roman"/>
          <w:b/>
        </w:rPr>
        <w:t>Hanehalkı</w:t>
      </w:r>
      <w:proofErr w:type="spellEnd"/>
      <w:r>
        <w:rPr>
          <w:rFonts w:ascii="Times New Roman" w:hAnsi="Times New Roman" w:cs="Times New Roman"/>
          <w:b/>
        </w:rPr>
        <w:t xml:space="preserve"> İşgücü İstatistikleri, Türkiye İstatistik Kurumu tarafından 15 Mayıs 2019</w:t>
      </w:r>
      <w:r w:rsidRPr="006B2D78">
        <w:rPr>
          <w:rFonts w:ascii="Times New Roman" w:hAnsi="Times New Roman" w:cs="Times New Roman"/>
          <w:b/>
        </w:rPr>
        <w:t xml:space="preserve"> tarihinde açıklandı.</w:t>
      </w:r>
    </w:p>
    <w:p w:rsidR="00635588" w:rsidRDefault="00635588" w:rsidP="00635588">
      <w:pPr>
        <w:pStyle w:val="Balk2"/>
        <w:jc w:val="both"/>
        <w:rPr>
          <w:rFonts w:ascii="Times New Roman" w:hAnsi="Times New Roman" w:cs="Times New Roman"/>
        </w:rPr>
      </w:pPr>
      <w:r>
        <w:rPr>
          <w:rFonts w:ascii="Times New Roman" w:hAnsi="Times New Roman" w:cs="Times New Roman"/>
        </w:rPr>
        <w:t>2019</w:t>
      </w:r>
      <w:r w:rsidRPr="00760EBE">
        <w:rPr>
          <w:rFonts w:ascii="Times New Roman" w:hAnsi="Times New Roman" w:cs="Times New Roman"/>
        </w:rPr>
        <w:t>’</w:t>
      </w:r>
      <w:r>
        <w:rPr>
          <w:rFonts w:ascii="Times New Roman" w:hAnsi="Times New Roman" w:cs="Times New Roman"/>
        </w:rPr>
        <w:t>un Şubat</w:t>
      </w:r>
      <w:r w:rsidRPr="00760EBE">
        <w:rPr>
          <w:rFonts w:ascii="Times New Roman" w:hAnsi="Times New Roman" w:cs="Times New Roman"/>
        </w:rPr>
        <w:t xml:space="preserve"> ayında Türkiye’deki toplam işsiz sayısı, geçen yılın </w:t>
      </w:r>
      <w:r>
        <w:rPr>
          <w:rFonts w:ascii="Times New Roman" w:hAnsi="Times New Roman" w:cs="Times New Roman"/>
        </w:rPr>
        <w:t>aynı dönemine göre 1 milyon 376 bin kişi artarak 4 milyon 730</w:t>
      </w:r>
      <w:r w:rsidRPr="00760EBE">
        <w:rPr>
          <w:rFonts w:ascii="Times New Roman" w:hAnsi="Times New Roman" w:cs="Times New Roman"/>
        </w:rPr>
        <w:t xml:space="preserve"> bin kişi oldu. Böylece işsizlik </w:t>
      </w:r>
      <w:r>
        <w:rPr>
          <w:rFonts w:ascii="Times New Roman" w:hAnsi="Times New Roman" w:cs="Times New Roman"/>
        </w:rPr>
        <w:t>oranı 4,1, tarım dışı işsizlik oranı ise 4,4 puan artış göstererek sırasıyla yüzde 14,7 ve yüzde 16,9 olarak gerçekleşti.</w:t>
      </w:r>
      <w:r w:rsidRPr="00760EBE">
        <w:rPr>
          <w:rFonts w:ascii="Times New Roman" w:hAnsi="Times New Roman" w:cs="Times New Roman"/>
        </w:rPr>
        <w:t xml:space="preserve"> Genç nüfusta işsizlik oranı ise </w:t>
      </w:r>
      <w:r>
        <w:rPr>
          <w:rFonts w:ascii="Times New Roman" w:hAnsi="Times New Roman" w:cs="Times New Roman"/>
        </w:rPr>
        <w:t>7,1 puan artarak yüzde 26,1’e</w:t>
      </w:r>
      <w:r w:rsidRPr="00760EBE">
        <w:rPr>
          <w:rFonts w:ascii="Times New Roman" w:hAnsi="Times New Roman" w:cs="Times New Roman"/>
        </w:rPr>
        <w:t xml:space="preserve"> </w:t>
      </w:r>
      <w:r>
        <w:rPr>
          <w:rFonts w:ascii="Times New Roman" w:hAnsi="Times New Roman" w:cs="Times New Roman"/>
        </w:rPr>
        <w:t>yükseldi.</w:t>
      </w:r>
    </w:p>
    <w:p w:rsidR="00635588" w:rsidRPr="00E42BBF" w:rsidRDefault="00635588" w:rsidP="00635588"/>
    <w:p w:rsidR="00635588" w:rsidRDefault="00635588" w:rsidP="00635588">
      <w:pPr>
        <w:spacing w:line="360" w:lineRule="auto"/>
        <w:jc w:val="both"/>
        <w:rPr>
          <w:rFonts w:ascii="Times New Roman" w:hAnsi="Times New Roman" w:cs="Times New Roman"/>
        </w:rPr>
      </w:pPr>
      <w:r>
        <w:rPr>
          <w:rFonts w:ascii="Times New Roman" w:hAnsi="Times New Roman" w:cs="Times New Roman"/>
        </w:rPr>
        <w:t>Şubat 2019’da</w:t>
      </w:r>
      <w:r w:rsidRPr="005D1CCA">
        <w:rPr>
          <w:rFonts w:ascii="Times New Roman" w:hAnsi="Times New Roman" w:cs="Times New Roman"/>
        </w:rPr>
        <w:t xml:space="preserve"> </w:t>
      </w:r>
      <w:r>
        <w:rPr>
          <w:rFonts w:ascii="Times New Roman" w:hAnsi="Times New Roman" w:cs="Times New Roman"/>
        </w:rPr>
        <w:t>Türkiye genelinde 15 yaş ve üstü bireylerde istihdam edilen kişi sayısı, bir önceki yılın aynı dönemine göre 811 bin kişi azalış göstererek 27 milyon 355 bin kişi oldu.</w:t>
      </w:r>
    </w:p>
    <w:p w:rsidR="00635588" w:rsidRPr="00054B5D" w:rsidRDefault="00635588" w:rsidP="00635588">
      <w:pPr>
        <w:spacing w:line="360" w:lineRule="auto"/>
        <w:rPr>
          <w:noProof/>
        </w:rPr>
      </w:pPr>
      <w:r>
        <w:rPr>
          <w:rFonts w:ascii="Times New Roman" w:hAnsi="Times New Roman" w:cs="Times New Roman"/>
          <w:b/>
          <w:szCs w:val="18"/>
        </w:rPr>
        <w:t>Grafik</w:t>
      </w:r>
      <w:r w:rsidRPr="00CB6DC5">
        <w:rPr>
          <w:rFonts w:ascii="Times New Roman" w:hAnsi="Times New Roman" w:cs="Times New Roman"/>
          <w:b/>
          <w:szCs w:val="18"/>
        </w:rPr>
        <w:t xml:space="preserve"> 1.</w:t>
      </w:r>
      <w:r w:rsidRPr="00CB6DC5">
        <w:rPr>
          <w:rFonts w:ascii="Times New Roman" w:hAnsi="Times New Roman" w:cs="Times New Roman"/>
          <w:szCs w:val="18"/>
        </w:rPr>
        <w:t xml:space="preserve"> </w:t>
      </w:r>
      <w:r w:rsidRPr="00B27A6A">
        <w:rPr>
          <w:rFonts w:ascii="Times New Roman" w:hAnsi="Times New Roman" w:cs="Times New Roman"/>
          <w:b/>
          <w:szCs w:val="18"/>
        </w:rPr>
        <w:t>Türkiye</w:t>
      </w:r>
      <w:r>
        <w:rPr>
          <w:rFonts w:ascii="Times New Roman" w:hAnsi="Times New Roman" w:cs="Times New Roman"/>
          <w:b/>
          <w:szCs w:val="18"/>
        </w:rPr>
        <w:t xml:space="preserve">’de </w:t>
      </w:r>
      <w:r w:rsidRPr="00B27A6A">
        <w:rPr>
          <w:rFonts w:ascii="Times New Roman" w:hAnsi="Times New Roman" w:cs="Times New Roman"/>
          <w:b/>
          <w:szCs w:val="18"/>
        </w:rPr>
        <w:t xml:space="preserve">15 yaş ve üzerinde istihdam edilen kişi </w:t>
      </w:r>
      <w:r w:rsidRPr="00B53BE3">
        <w:rPr>
          <w:rFonts w:ascii="Times New Roman" w:hAnsi="Times New Roman" w:cs="Times New Roman"/>
          <w:b/>
          <w:szCs w:val="18"/>
        </w:rPr>
        <w:t xml:space="preserve">sayısı </w:t>
      </w:r>
      <w:r>
        <w:rPr>
          <w:rFonts w:ascii="Times New Roman" w:hAnsi="Times New Roman" w:cs="Times New Roman"/>
          <w:b/>
          <w:szCs w:val="18"/>
        </w:rPr>
        <w:t>ve 15 yaş ve üzerinde toplam işgücü, Şubat 2018 - Şubat 2019</w:t>
      </w:r>
      <w:r>
        <w:rPr>
          <w:noProof/>
        </w:rPr>
        <w:drawing>
          <wp:inline distT="0" distB="0" distL="0" distR="0" wp14:anchorId="1833CF12" wp14:editId="169BA096">
            <wp:extent cx="5972810" cy="2076450"/>
            <wp:effectExtent l="0" t="0" r="889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87CCD">
        <w:rPr>
          <w:rFonts w:ascii="Times New Roman" w:hAnsi="Times New Roman" w:cs="Times New Roman"/>
          <w:sz w:val="20"/>
          <w:szCs w:val="18"/>
        </w:rPr>
        <w:t>Kaynak: TÜİK</w:t>
      </w:r>
    </w:p>
    <w:p w:rsidR="00635588" w:rsidRDefault="00635588" w:rsidP="00635588">
      <w:pPr>
        <w:spacing w:line="360" w:lineRule="auto"/>
        <w:jc w:val="both"/>
        <w:rPr>
          <w:rFonts w:ascii="Times New Roman" w:hAnsi="Times New Roman" w:cs="Times New Roman"/>
          <w:szCs w:val="18"/>
        </w:rPr>
      </w:pPr>
      <w:r>
        <w:rPr>
          <w:rFonts w:ascii="Times New Roman" w:hAnsi="Times New Roman" w:cs="Times New Roman"/>
          <w:szCs w:val="18"/>
        </w:rPr>
        <w:t xml:space="preserve">Şubat 2019’da, </w:t>
      </w:r>
      <w:r w:rsidRPr="00157358">
        <w:rPr>
          <w:rFonts w:ascii="Times New Roman" w:hAnsi="Times New Roman" w:cs="Times New Roman"/>
          <w:szCs w:val="18"/>
        </w:rPr>
        <w:t>15 yaş ve üzeri birey</w:t>
      </w:r>
      <w:r>
        <w:rPr>
          <w:rFonts w:ascii="Times New Roman" w:hAnsi="Times New Roman" w:cs="Times New Roman"/>
          <w:szCs w:val="18"/>
        </w:rPr>
        <w:t>lerde işgücüne dâhil olmayan kadınların sayısı 2018 yılının aynı dönemine göre 37 bin artarak 20,4 milyona yükselirken</w:t>
      </w:r>
      <w:r w:rsidRPr="00B53BE3">
        <w:rPr>
          <w:rFonts w:ascii="Times New Roman" w:hAnsi="Times New Roman" w:cs="Times New Roman"/>
          <w:szCs w:val="18"/>
        </w:rPr>
        <w:t>,</w:t>
      </w:r>
      <w:r w:rsidRPr="00157358">
        <w:rPr>
          <w:rFonts w:ascii="Times New Roman" w:hAnsi="Times New Roman" w:cs="Times New Roman"/>
          <w:szCs w:val="18"/>
        </w:rPr>
        <w:t xml:space="preserve"> </w:t>
      </w:r>
      <w:r>
        <w:rPr>
          <w:rFonts w:ascii="Times New Roman" w:hAnsi="Times New Roman" w:cs="Times New Roman"/>
          <w:szCs w:val="18"/>
        </w:rPr>
        <w:t>işgücüne dâhil olmayan erkeklerin sayısı da</w:t>
      </w:r>
      <w:r w:rsidRPr="00157358">
        <w:rPr>
          <w:rFonts w:ascii="Times New Roman" w:hAnsi="Times New Roman" w:cs="Times New Roman"/>
          <w:szCs w:val="18"/>
        </w:rPr>
        <w:t xml:space="preserve"> </w:t>
      </w:r>
      <w:r>
        <w:rPr>
          <w:rFonts w:ascii="Times New Roman" w:hAnsi="Times New Roman" w:cs="Times New Roman"/>
          <w:szCs w:val="18"/>
        </w:rPr>
        <w:t>8,6 milyon olarak gerçekleşti</w:t>
      </w:r>
      <w:r w:rsidRPr="00157358">
        <w:rPr>
          <w:rFonts w:ascii="Times New Roman" w:hAnsi="Times New Roman" w:cs="Times New Roman"/>
          <w:szCs w:val="18"/>
        </w:rPr>
        <w:t>.</w:t>
      </w:r>
      <w:r>
        <w:rPr>
          <w:rFonts w:ascii="Times New Roman" w:hAnsi="Times New Roman" w:cs="Times New Roman"/>
          <w:szCs w:val="18"/>
        </w:rPr>
        <w:t xml:space="preserve"> Toplamda iş gücüne dâhil olmayanlar ise bir önceki yılın aynı dönemine göre 122 bin kişi artarak 29 milyon kişiye yükseldi. Tarım istihdamı 4,7 milyon, tarım dışı istihdam </w:t>
      </w:r>
      <w:r w:rsidRPr="00B53BE3">
        <w:rPr>
          <w:rFonts w:ascii="Times New Roman" w:hAnsi="Times New Roman" w:cs="Times New Roman"/>
          <w:szCs w:val="18"/>
        </w:rPr>
        <w:t xml:space="preserve">ise </w:t>
      </w:r>
      <w:r>
        <w:rPr>
          <w:rFonts w:ascii="Times New Roman" w:hAnsi="Times New Roman" w:cs="Times New Roman"/>
          <w:szCs w:val="18"/>
        </w:rPr>
        <w:t>22,7 milyon kişi olarak gerçekleşti.</w:t>
      </w:r>
    </w:p>
    <w:p w:rsidR="000D60AE" w:rsidRDefault="000D60AE" w:rsidP="00635588">
      <w:pPr>
        <w:spacing w:line="360" w:lineRule="auto"/>
        <w:rPr>
          <w:rFonts w:ascii="Times New Roman" w:hAnsi="Times New Roman" w:cs="Times New Roman"/>
          <w:b/>
          <w:szCs w:val="18"/>
        </w:rPr>
      </w:pPr>
    </w:p>
    <w:p w:rsidR="000D60AE" w:rsidRDefault="000D60AE" w:rsidP="00635588">
      <w:pPr>
        <w:spacing w:line="360" w:lineRule="auto"/>
        <w:rPr>
          <w:rFonts w:ascii="Times New Roman" w:hAnsi="Times New Roman" w:cs="Times New Roman"/>
          <w:b/>
          <w:szCs w:val="18"/>
        </w:rPr>
      </w:pPr>
    </w:p>
    <w:p w:rsidR="00635588" w:rsidRPr="00462BDA" w:rsidRDefault="00635588" w:rsidP="00635588">
      <w:pPr>
        <w:spacing w:line="360" w:lineRule="auto"/>
        <w:rPr>
          <w:noProof/>
        </w:rPr>
      </w:pPr>
      <w:r w:rsidRPr="00B27A6A">
        <w:rPr>
          <w:rFonts w:ascii="Times New Roman" w:hAnsi="Times New Roman" w:cs="Times New Roman"/>
          <w:b/>
          <w:szCs w:val="18"/>
        </w:rPr>
        <w:lastRenderedPageBreak/>
        <w:t>Grafik 2.</w:t>
      </w:r>
      <w:r w:rsidRPr="00B27A6A">
        <w:rPr>
          <w:rFonts w:ascii="Times New Roman" w:hAnsi="Times New Roman" w:cs="Times New Roman"/>
          <w:szCs w:val="18"/>
        </w:rPr>
        <w:t xml:space="preserve">  </w:t>
      </w:r>
      <w:r w:rsidRPr="00B27A6A">
        <w:rPr>
          <w:rFonts w:ascii="Times New Roman" w:hAnsi="Times New Roman" w:cs="Times New Roman"/>
          <w:b/>
          <w:bCs/>
          <w:color w:val="000000"/>
          <w:shd w:val="clear" w:color="auto" w:fill="FFFFFF"/>
        </w:rPr>
        <w:t>Mevsim etkilerinden arındırılmamış</w:t>
      </w:r>
      <w:r>
        <w:rPr>
          <w:rFonts w:ascii="Times New Roman" w:hAnsi="Times New Roman" w:cs="Times New Roman"/>
          <w:b/>
          <w:bCs/>
          <w:color w:val="000000"/>
          <w:shd w:val="clear" w:color="auto" w:fill="FFFFFF"/>
        </w:rPr>
        <w:t xml:space="preserve"> yıllık temel işgücü göstergeleri,  15 ve daha yukarı yaştakiler, milyon kişi, Şubat 2019</w:t>
      </w:r>
      <w:r>
        <w:rPr>
          <w:noProof/>
        </w:rPr>
        <w:drawing>
          <wp:inline distT="0" distB="0" distL="0" distR="0" wp14:anchorId="6B6C5310" wp14:editId="35BB6BF9">
            <wp:extent cx="5972810" cy="1827530"/>
            <wp:effectExtent l="0" t="0" r="8890" b="127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9113D4">
        <w:rPr>
          <w:rFonts w:ascii="Times New Roman" w:hAnsi="Times New Roman" w:cs="Times New Roman"/>
          <w:sz w:val="20"/>
        </w:rPr>
        <w:t>Kaynak: TÜİK</w:t>
      </w:r>
    </w:p>
    <w:p w:rsidR="00635588" w:rsidRDefault="00635588" w:rsidP="00635588">
      <w:pPr>
        <w:spacing w:line="360" w:lineRule="auto"/>
        <w:jc w:val="both"/>
        <w:rPr>
          <w:rFonts w:ascii="Times New Roman" w:hAnsi="Times New Roman" w:cs="Times New Roman"/>
        </w:rPr>
      </w:pPr>
      <w:r>
        <w:rPr>
          <w:rFonts w:ascii="Times New Roman" w:hAnsi="Times New Roman" w:cs="Times New Roman"/>
          <w:sz w:val="24"/>
        </w:rPr>
        <w:t xml:space="preserve">Kadınlarda işgücüne katılma oranı bir yıl önceki yılın aynı dönemine göre 0,7 puanlık bir artışla yüzde 34’e ulaşırken erkeklerde ise 71,4 olarak gerçekleşti. 2019 Şubat’ta toplamda işgücüne katılım oranı yüzde 52,5 oldu. </w:t>
      </w:r>
      <w:r w:rsidRPr="00DC031B">
        <w:rPr>
          <w:rFonts w:ascii="Times New Roman" w:hAnsi="Times New Roman" w:cs="Times New Roman"/>
          <w:sz w:val="24"/>
        </w:rPr>
        <w:t xml:space="preserve">Türkiye mevsim etkilerinden arındırılmış işsiz sayısı önceki döneme göre </w:t>
      </w:r>
      <w:r>
        <w:rPr>
          <w:rFonts w:ascii="Times New Roman" w:hAnsi="Times New Roman" w:cs="Times New Roman"/>
          <w:sz w:val="24"/>
        </w:rPr>
        <w:t>113</w:t>
      </w:r>
      <w:r w:rsidRPr="00DC031B">
        <w:rPr>
          <w:rFonts w:ascii="Times New Roman" w:hAnsi="Times New Roman" w:cs="Times New Roman"/>
          <w:sz w:val="24"/>
        </w:rPr>
        <w:t xml:space="preserve"> bin kişi artarak </w:t>
      </w:r>
      <w:r>
        <w:rPr>
          <w:rFonts w:ascii="Times New Roman" w:hAnsi="Times New Roman" w:cs="Times New Roman"/>
          <w:sz w:val="24"/>
        </w:rPr>
        <w:t>4</w:t>
      </w:r>
      <w:r w:rsidRPr="00DC031B">
        <w:rPr>
          <w:rFonts w:ascii="Times New Roman" w:hAnsi="Times New Roman" w:cs="Times New Roman"/>
          <w:sz w:val="24"/>
        </w:rPr>
        <w:t xml:space="preserve"> milyon </w:t>
      </w:r>
      <w:r>
        <w:rPr>
          <w:rFonts w:ascii="Times New Roman" w:hAnsi="Times New Roman" w:cs="Times New Roman"/>
          <w:sz w:val="24"/>
        </w:rPr>
        <w:t>417</w:t>
      </w:r>
      <w:r w:rsidRPr="00DC031B">
        <w:rPr>
          <w:rFonts w:ascii="Times New Roman" w:hAnsi="Times New Roman" w:cs="Times New Roman"/>
          <w:sz w:val="24"/>
        </w:rPr>
        <w:t xml:space="preserve"> bin kişiye ulaştı. İşsizlik oranı toplamda yüzde 1</w:t>
      </w:r>
      <w:r>
        <w:rPr>
          <w:rFonts w:ascii="Times New Roman" w:hAnsi="Times New Roman" w:cs="Times New Roman"/>
          <w:sz w:val="24"/>
        </w:rPr>
        <w:t>3</w:t>
      </w:r>
      <w:r w:rsidRPr="00DC031B">
        <w:rPr>
          <w:rFonts w:ascii="Times New Roman" w:hAnsi="Times New Roman" w:cs="Times New Roman"/>
          <w:sz w:val="24"/>
        </w:rPr>
        <w:t>,</w:t>
      </w:r>
      <w:r>
        <w:rPr>
          <w:rFonts w:ascii="Times New Roman" w:hAnsi="Times New Roman" w:cs="Times New Roman"/>
          <w:sz w:val="24"/>
        </w:rPr>
        <w:t>7</w:t>
      </w:r>
      <w:r w:rsidRPr="00DC031B">
        <w:rPr>
          <w:rFonts w:ascii="Times New Roman" w:hAnsi="Times New Roman" w:cs="Times New Roman"/>
          <w:sz w:val="24"/>
        </w:rPr>
        <w:t>; kadınlarda yüzde 1</w:t>
      </w:r>
      <w:r>
        <w:rPr>
          <w:rFonts w:ascii="Times New Roman" w:hAnsi="Times New Roman" w:cs="Times New Roman"/>
          <w:sz w:val="24"/>
        </w:rPr>
        <w:t>6,9</w:t>
      </w:r>
      <w:r w:rsidRPr="00DC031B">
        <w:rPr>
          <w:rFonts w:ascii="Times New Roman" w:hAnsi="Times New Roman" w:cs="Times New Roman"/>
          <w:sz w:val="24"/>
        </w:rPr>
        <w:t xml:space="preserve">; erkeklerde ise yüzde </w:t>
      </w:r>
      <w:r>
        <w:rPr>
          <w:rFonts w:ascii="Times New Roman" w:hAnsi="Times New Roman" w:cs="Times New Roman"/>
          <w:sz w:val="24"/>
        </w:rPr>
        <w:t>13,7</w:t>
      </w:r>
      <w:r w:rsidRPr="00DC031B">
        <w:rPr>
          <w:rFonts w:ascii="Times New Roman" w:hAnsi="Times New Roman" w:cs="Times New Roman"/>
          <w:sz w:val="24"/>
        </w:rPr>
        <w:t xml:space="preserve"> olarak gerçekleşti.</w:t>
      </w:r>
    </w:p>
    <w:p w:rsidR="00635588" w:rsidRPr="00107728" w:rsidRDefault="00635588" w:rsidP="00635588">
      <w:pPr>
        <w:spacing w:line="360" w:lineRule="auto"/>
        <w:rPr>
          <w:noProof/>
        </w:rPr>
      </w:pPr>
      <w:r w:rsidRPr="00461AA0">
        <w:rPr>
          <w:rFonts w:ascii="Times New Roman" w:hAnsi="Times New Roman" w:cs="Times New Roman"/>
          <w:b/>
          <w:szCs w:val="18"/>
        </w:rPr>
        <w:t xml:space="preserve">Grafik 3. </w:t>
      </w:r>
      <w:r w:rsidRPr="00461AA0">
        <w:rPr>
          <w:rFonts w:ascii="Times New Roman" w:hAnsi="Times New Roman" w:cs="Times New Roman"/>
          <w:b/>
          <w:bCs/>
          <w:color w:val="000000"/>
          <w:shd w:val="clear" w:color="auto" w:fill="FFFFFF"/>
        </w:rPr>
        <w:t>Mevsim etkilerinden arındırılmamış</w:t>
      </w:r>
      <w:r>
        <w:rPr>
          <w:rFonts w:ascii="Times New Roman" w:hAnsi="Times New Roman" w:cs="Times New Roman"/>
          <w:b/>
          <w:bCs/>
          <w:color w:val="000000"/>
          <w:shd w:val="clear" w:color="auto" w:fill="FFFFFF"/>
        </w:rPr>
        <w:t xml:space="preserve"> yıllık</w:t>
      </w:r>
      <w:r w:rsidRPr="00461AA0">
        <w:rPr>
          <w:rFonts w:ascii="Times New Roman" w:hAnsi="Times New Roman" w:cs="Times New Roman"/>
          <w:b/>
          <w:bCs/>
          <w:color w:val="000000"/>
          <w:shd w:val="clear" w:color="auto" w:fill="FFFFFF"/>
        </w:rPr>
        <w:t xml:space="preserve"> t</w:t>
      </w:r>
      <w:r>
        <w:rPr>
          <w:rFonts w:ascii="Times New Roman" w:hAnsi="Times New Roman" w:cs="Times New Roman"/>
          <w:b/>
          <w:bCs/>
          <w:color w:val="000000"/>
          <w:shd w:val="clear" w:color="auto" w:fill="FFFFFF"/>
        </w:rPr>
        <w:t>emel işgücü göstergeleri, 15 ve daha yukarı yaştakiler, yüzde, Şubat 2019</w:t>
      </w:r>
      <w:r>
        <w:rPr>
          <w:noProof/>
        </w:rPr>
        <w:drawing>
          <wp:inline distT="0" distB="0" distL="0" distR="0" wp14:anchorId="7229FD4E" wp14:editId="4FE78EF9">
            <wp:extent cx="5972810" cy="1810385"/>
            <wp:effectExtent l="0" t="0" r="8890" b="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113D4">
        <w:rPr>
          <w:rFonts w:ascii="Times New Roman" w:hAnsi="Times New Roman" w:cs="Times New Roman"/>
          <w:sz w:val="20"/>
          <w:szCs w:val="18"/>
        </w:rPr>
        <w:t>Kaynak: TÜİK</w:t>
      </w:r>
      <w:r w:rsidR="00F94878">
        <w:rPr>
          <w:rFonts w:ascii="Times New Roman" w:hAnsi="Times New Roman" w:cs="Times New Roman"/>
          <w:sz w:val="20"/>
          <w:szCs w:val="18"/>
        </w:rPr>
        <w:t>, TEPAV</w:t>
      </w:r>
    </w:p>
    <w:p w:rsidR="001D1AD8" w:rsidRDefault="001D1AD8"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562DDA" w:rsidRDefault="00562DDA" w:rsidP="00833A80">
      <w:pPr>
        <w:jc w:val="center"/>
        <w:rPr>
          <w:rFonts w:ascii="Times New Roman" w:hAnsi="Times New Roman" w:cs="Times New Roman"/>
          <w:b/>
          <w:color w:val="1F4E79" w:themeColor="accent1" w:themeShade="80"/>
          <w:sz w:val="40"/>
          <w:szCs w:val="40"/>
        </w:rPr>
      </w:pPr>
    </w:p>
    <w:p w:rsidR="00CC7C77" w:rsidRDefault="00CC7C77" w:rsidP="00B63B35">
      <w:pPr>
        <w:rPr>
          <w:rFonts w:ascii="Times New Roman" w:hAnsi="Times New Roman" w:cs="Times New Roman"/>
          <w:b/>
          <w:color w:val="1F4E79" w:themeColor="accent1" w:themeShade="80"/>
          <w:sz w:val="40"/>
          <w:szCs w:val="40"/>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CC7C77" w:rsidTr="00E51691">
        <w:trPr>
          <w:trHeight w:val="915"/>
        </w:trPr>
        <w:tc>
          <w:tcPr>
            <w:tcW w:w="8754" w:type="dxa"/>
            <w:vAlign w:val="center"/>
          </w:tcPr>
          <w:p w:rsidR="00CC7C77" w:rsidRPr="00CC7C77" w:rsidRDefault="00CC7C77" w:rsidP="00CC7C77">
            <w:pPr>
              <w:pStyle w:val="stbilgi"/>
              <w:rPr>
                <w:rFonts w:asciiTheme="majorHAnsi" w:eastAsiaTheme="majorEastAsia" w:hAnsiTheme="majorHAnsi" w:cstheme="majorBidi"/>
                <w:b/>
                <w:sz w:val="36"/>
                <w:szCs w:val="36"/>
              </w:rPr>
            </w:pPr>
            <w:r w:rsidRPr="00CC7C77">
              <w:rPr>
                <w:rFonts w:asciiTheme="majorHAnsi" w:eastAsiaTheme="majorEastAsia" w:hAnsiTheme="majorHAnsi" w:cstheme="majorBidi"/>
                <w:b/>
                <w:sz w:val="36"/>
                <w:szCs w:val="36"/>
              </w:rPr>
              <w:lastRenderedPageBreak/>
              <w:t xml:space="preserve">2019 Mart </w:t>
            </w:r>
          </w:p>
          <w:p w:rsidR="00CC7C77" w:rsidRPr="00CC7C77" w:rsidRDefault="00CC7C77" w:rsidP="00CC7C77">
            <w:pPr>
              <w:pStyle w:val="stbilgi"/>
              <w:rPr>
                <w:rFonts w:asciiTheme="majorHAnsi" w:eastAsiaTheme="majorEastAsia" w:hAnsiTheme="majorHAnsi" w:cstheme="majorBidi"/>
                <w:b/>
                <w:sz w:val="36"/>
                <w:szCs w:val="36"/>
              </w:rPr>
            </w:pPr>
            <w:r w:rsidRPr="00CC7C77">
              <w:rPr>
                <w:rFonts w:asciiTheme="majorHAnsi" w:eastAsiaTheme="majorEastAsia" w:hAnsiTheme="majorHAnsi" w:cstheme="majorBidi"/>
                <w:b/>
                <w:sz w:val="36"/>
                <w:szCs w:val="36"/>
              </w:rPr>
              <w:t>SANAYİ ÜRETİM ENDEKSİ</w:t>
            </w:r>
          </w:p>
        </w:tc>
      </w:tr>
    </w:tbl>
    <w:p w:rsidR="00F57480" w:rsidRDefault="00F57480" w:rsidP="00F57480">
      <w:pPr>
        <w:rPr>
          <w:b/>
        </w:rPr>
      </w:pPr>
    </w:p>
    <w:p w:rsidR="00F57480" w:rsidRPr="00EF4E45" w:rsidRDefault="00F57480" w:rsidP="00F57480">
      <w:pPr>
        <w:rPr>
          <w:b/>
        </w:rPr>
      </w:pPr>
      <w:r>
        <w:rPr>
          <w:b/>
        </w:rPr>
        <w:t>Mart 2019</w:t>
      </w:r>
      <w:r w:rsidRPr="00EF4E45">
        <w:rPr>
          <w:b/>
        </w:rPr>
        <w:t xml:space="preserve"> </w:t>
      </w:r>
      <w:r>
        <w:rPr>
          <w:b/>
        </w:rPr>
        <w:t>Sanayi Üretim Endeksi’ne</w:t>
      </w:r>
      <w:r w:rsidRPr="00EF4E45">
        <w:rPr>
          <w:b/>
        </w:rPr>
        <w:t xml:space="preserve"> ilişkin veriler Türkiye İstat</w:t>
      </w:r>
      <w:r>
        <w:rPr>
          <w:b/>
        </w:rPr>
        <w:t>istik Kurumu (TÜİK) tarafından 14 Mayıs 2019</w:t>
      </w:r>
      <w:r w:rsidRPr="00EF4E45">
        <w:rPr>
          <w:b/>
        </w:rPr>
        <w:t xml:space="preserve"> tarihinde yayımlandı.</w:t>
      </w:r>
    </w:p>
    <w:p w:rsidR="00F57480" w:rsidRDefault="00F57480" w:rsidP="00F57480">
      <w:r>
        <w:t xml:space="preserve">TÜİK tarafından aylık yayımlanan </w:t>
      </w:r>
      <w:r w:rsidRPr="007B58E6">
        <w:t>Sanayi Üretim Endeksi</w:t>
      </w:r>
      <w:r>
        <w:t>, Türkiye’deki sanayi kuruluşlarının toplam üretiminin zaman içindeki değişimi hakkında bilgi vermektedir.</w:t>
      </w:r>
      <w:r w:rsidRPr="00C04441">
        <w:rPr>
          <w:rStyle w:val="DipnotBavurusu"/>
        </w:rPr>
        <w:footnoteReference w:id="2"/>
      </w:r>
    </w:p>
    <w:p w:rsidR="00F57480" w:rsidRDefault="00F57480" w:rsidP="00F57480">
      <w:pPr>
        <w:jc w:val="both"/>
        <w:outlineLvl w:val="1"/>
        <w:rPr>
          <w:rFonts w:eastAsia="Times New Roman" w:cs="Times New Roman"/>
          <w:b/>
          <w:bCs/>
          <w:kern w:val="36"/>
          <w:sz w:val="24"/>
          <w:szCs w:val="24"/>
        </w:rPr>
      </w:pPr>
      <w:r>
        <w:rPr>
          <w:rFonts w:eastAsia="Times New Roman" w:cs="Times New Roman"/>
          <w:b/>
          <w:bCs/>
          <w:kern w:val="36"/>
          <w:sz w:val="24"/>
          <w:szCs w:val="24"/>
        </w:rPr>
        <w:t xml:space="preserve">Şekil 1: Aylara göre </w:t>
      </w:r>
      <w:r w:rsidRPr="006D330B">
        <w:rPr>
          <w:rFonts w:eastAsia="Times New Roman" w:cs="Times New Roman"/>
          <w:b/>
          <w:bCs/>
          <w:kern w:val="36"/>
          <w:sz w:val="24"/>
          <w:szCs w:val="24"/>
        </w:rPr>
        <w:t>sanayi üretim endeksi</w:t>
      </w:r>
      <w:r>
        <w:rPr>
          <w:rFonts w:eastAsia="Times New Roman" w:cs="Times New Roman"/>
          <w:b/>
          <w:bCs/>
          <w:kern w:val="36"/>
          <w:sz w:val="24"/>
          <w:szCs w:val="24"/>
        </w:rPr>
        <w:t xml:space="preserve"> </w:t>
      </w:r>
    </w:p>
    <w:p w:rsidR="00F57480" w:rsidRPr="006D330B" w:rsidRDefault="00F57480" w:rsidP="00F57480">
      <w:pPr>
        <w:ind w:firstLine="720"/>
        <w:jc w:val="both"/>
        <w:outlineLvl w:val="1"/>
        <w:rPr>
          <w:rFonts w:eastAsia="Times New Roman" w:cs="Times New Roman"/>
          <w:b/>
          <w:bCs/>
          <w:kern w:val="36"/>
          <w:sz w:val="24"/>
          <w:szCs w:val="24"/>
        </w:rPr>
      </w:pPr>
      <w:r>
        <w:rPr>
          <w:rFonts w:eastAsia="Times New Roman" w:cs="Times New Roman"/>
          <w:b/>
          <w:bCs/>
          <w:kern w:val="36"/>
          <w:sz w:val="24"/>
          <w:szCs w:val="24"/>
        </w:rPr>
        <w:t>(mevsim ve takvim etkilerinden arındırılmış, 2015=100)</w:t>
      </w:r>
    </w:p>
    <w:p w:rsidR="00F57480" w:rsidRDefault="00F57480" w:rsidP="00F57480">
      <w:pPr>
        <w:jc w:val="both"/>
        <w:outlineLvl w:val="1"/>
        <w:rPr>
          <w:rFonts w:eastAsia="Times New Roman" w:cs="Times New Roman"/>
          <w:b/>
          <w:bCs/>
          <w:kern w:val="36"/>
          <w:sz w:val="28"/>
          <w:szCs w:val="24"/>
        </w:rPr>
      </w:pPr>
      <w:r>
        <w:rPr>
          <w:noProof/>
        </w:rPr>
        <w:drawing>
          <wp:inline distT="0" distB="0" distL="0" distR="0" wp14:anchorId="21642700" wp14:editId="1A38FCC0">
            <wp:extent cx="5972175" cy="2381250"/>
            <wp:effectExtent l="0" t="0" r="9525" b="1905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7480" w:rsidRPr="00863219" w:rsidRDefault="00F57480" w:rsidP="00F57480">
      <w:pPr>
        <w:jc w:val="both"/>
      </w:pPr>
      <w:r w:rsidRPr="00863219">
        <w:t xml:space="preserve">Mart ayında Türkiye (TR) Geneli Sanayi Üretim Endeksi </w:t>
      </w:r>
      <w:r w:rsidRPr="00863219">
        <w:rPr>
          <w:b/>
          <w:u w:val="single"/>
        </w:rPr>
        <w:t>bir önceki aya (Şubat 2019) göre</w:t>
      </w:r>
      <w:r w:rsidRPr="00863219">
        <w:t xml:space="preserve"> yüzde 2,1 artış göstermiştir. Mart (2019) ayındaki artışta bir önceki aya göre madencilik ve </w:t>
      </w:r>
      <w:proofErr w:type="spellStart"/>
      <w:r w:rsidRPr="00863219">
        <w:t>taşocakçılığı</w:t>
      </w:r>
      <w:proofErr w:type="spellEnd"/>
      <w:r w:rsidRPr="00863219">
        <w:t xml:space="preserve"> sektöründeki yüzde 4,1’lik ve imalat sanayi sektöründeki yüzde 2,2’lik artış etkili olmuştur. Elektrik, gaz, buhar ve iklimlendirme üretimi ve dağıtımı sektöründe ise bir önceki aya göre yüzde</w:t>
      </w:r>
      <w:r>
        <w:t xml:space="preserve"> </w:t>
      </w:r>
      <w:r w:rsidRPr="00863219">
        <w:t>0,6’lık azalış yaşanmıştır.</w:t>
      </w:r>
    </w:p>
    <w:p w:rsidR="00F57480" w:rsidRPr="00863219" w:rsidRDefault="00F57480" w:rsidP="00F57480">
      <w:pPr>
        <w:jc w:val="both"/>
      </w:pPr>
      <w:r w:rsidRPr="00863219">
        <w:t>Ana sanayi gruplarına bakıldığında toplam sanayi endeksindeki artışta sermaye malı, ara malı, dayanıklı tüketim malı ve dayanıksız tüketim malı sektörlerinde yaşanan artışın etkisi olduğu görülmektedir (sırasıyla yüzde 3,4’lük, 2,7’lik, 1,6’lık ve</w:t>
      </w:r>
      <w:r>
        <w:t xml:space="preserve"> </w:t>
      </w:r>
      <w:r w:rsidRPr="00863219">
        <w:t>1,4’lük artışlar).</w:t>
      </w:r>
    </w:p>
    <w:p w:rsidR="00F57480" w:rsidRDefault="00F57480" w:rsidP="00F57480">
      <w:pPr>
        <w:jc w:val="both"/>
      </w:pPr>
      <w:r w:rsidRPr="00CD5B4A">
        <w:t>Teknoloji sınıflarına bakıldığında bir önceki aya göre orta yüksek teknolojili üretimde yüzde 4,2’lik, düşük teknolojili üretimde yüzde 2,2’lik ve orta düşük teknolojili üretimde yüzde 1,5’lik artış olduğu görülmektedir. Yüksek teknolojili üretimde ise yüzde 1,8’lik azalış yaşanmıştır.</w:t>
      </w:r>
      <w:r>
        <w:t xml:space="preserve">  </w:t>
      </w:r>
    </w:p>
    <w:p w:rsidR="00F57480" w:rsidRDefault="00F57480" w:rsidP="00F57480">
      <w:pPr>
        <w:jc w:val="both"/>
        <w:outlineLvl w:val="1"/>
        <w:rPr>
          <w:rFonts w:eastAsia="Times New Roman" w:cs="Times New Roman"/>
          <w:b/>
          <w:bCs/>
          <w:kern w:val="36"/>
          <w:sz w:val="24"/>
          <w:szCs w:val="24"/>
        </w:rPr>
      </w:pPr>
    </w:p>
    <w:p w:rsidR="00F57480" w:rsidRDefault="00F57480" w:rsidP="00F57480">
      <w:pPr>
        <w:jc w:val="both"/>
        <w:outlineLvl w:val="1"/>
        <w:rPr>
          <w:rFonts w:eastAsia="Times New Roman" w:cs="Times New Roman"/>
          <w:b/>
          <w:bCs/>
          <w:kern w:val="36"/>
          <w:sz w:val="24"/>
          <w:szCs w:val="24"/>
        </w:rPr>
      </w:pPr>
    </w:p>
    <w:p w:rsidR="00F57480" w:rsidRDefault="00F57480" w:rsidP="00F57480">
      <w:pPr>
        <w:jc w:val="both"/>
        <w:outlineLvl w:val="1"/>
        <w:rPr>
          <w:rFonts w:eastAsia="Times New Roman" w:cs="Times New Roman"/>
          <w:b/>
          <w:bCs/>
          <w:kern w:val="36"/>
          <w:sz w:val="24"/>
          <w:szCs w:val="24"/>
        </w:rPr>
      </w:pPr>
      <w:r>
        <w:rPr>
          <w:rFonts w:eastAsia="Times New Roman" w:cs="Times New Roman"/>
          <w:b/>
          <w:bCs/>
          <w:kern w:val="36"/>
          <w:sz w:val="24"/>
          <w:szCs w:val="24"/>
        </w:rPr>
        <w:lastRenderedPageBreak/>
        <w:t xml:space="preserve">Şekil 2: Yıllara göre Mart </w:t>
      </w:r>
      <w:r w:rsidRPr="004D5C8C">
        <w:rPr>
          <w:rFonts w:eastAsia="Times New Roman" w:cs="Times New Roman"/>
          <w:b/>
          <w:bCs/>
          <w:kern w:val="36"/>
          <w:sz w:val="24"/>
          <w:szCs w:val="24"/>
        </w:rPr>
        <w:t xml:space="preserve">ayları itibariyle sanayi üretim endeksi </w:t>
      </w:r>
    </w:p>
    <w:p w:rsidR="00F57480" w:rsidRDefault="00F57480" w:rsidP="00F57480">
      <w:pPr>
        <w:ind w:firstLine="720"/>
        <w:jc w:val="both"/>
        <w:outlineLvl w:val="1"/>
        <w:rPr>
          <w:rFonts w:eastAsia="Times New Roman" w:cs="Times New Roman"/>
          <w:b/>
          <w:bCs/>
          <w:kern w:val="36"/>
          <w:sz w:val="24"/>
          <w:szCs w:val="24"/>
        </w:rPr>
      </w:pPr>
      <w:r w:rsidRPr="004D5C8C">
        <w:rPr>
          <w:rFonts w:eastAsia="Times New Roman" w:cs="Times New Roman"/>
          <w:b/>
          <w:bCs/>
          <w:kern w:val="36"/>
          <w:sz w:val="24"/>
          <w:szCs w:val="24"/>
        </w:rPr>
        <w:t xml:space="preserve">(takvim etkisinden arındırılmış, </w:t>
      </w:r>
      <w:r>
        <w:rPr>
          <w:rFonts w:eastAsia="Times New Roman" w:cs="Times New Roman"/>
          <w:b/>
          <w:bCs/>
          <w:kern w:val="36"/>
          <w:sz w:val="24"/>
          <w:szCs w:val="24"/>
        </w:rPr>
        <w:t>2015</w:t>
      </w:r>
      <w:r w:rsidRPr="004D5C8C">
        <w:rPr>
          <w:rFonts w:eastAsia="Times New Roman" w:cs="Times New Roman"/>
          <w:b/>
          <w:bCs/>
          <w:kern w:val="36"/>
          <w:sz w:val="24"/>
          <w:szCs w:val="24"/>
        </w:rPr>
        <w:t>=100)</w:t>
      </w:r>
    </w:p>
    <w:p w:rsidR="00F57480" w:rsidRPr="004D5C8C" w:rsidRDefault="00F57480" w:rsidP="00F57480">
      <w:pPr>
        <w:jc w:val="both"/>
        <w:outlineLvl w:val="1"/>
        <w:rPr>
          <w:rFonts w:eastAsia="Times New Roman" w:cs="Times New Roman"/>
          <w:b/>
          <w:bCs/>
          <w:kern w:val="36"/>
          <w:sz w:val="24"/>
          <w:szCs w:val="24"/>
        </w:rPr>
      </w:pPr>
      <w:r>
        <w:rPr>
          <w:noProof/>
        </w:rPr>
        <w:drawing>
          <wp:inline distT="0" distB="0" distL="0" distR="0" wp14:anchorId="7FA8BFAF" wp14:editId="07CE9789">
            <wp:extent cx="5972810" cy="2578735"/>
            <wp:effectExtent l="0" t="0" r="27940" b="1206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7480" w:rsidRPr="002E2B83" w:rsidRDefault="00F57480" w:rsidP="00F57480">
      <w:pPr>
        <w:jc w:val="both"/>
      </w:pPr>
      <w:r w:rsidRPr="002E2B83">
        <w:t xml:space="preserve">Endeks </w:t>
      </w:r>
      <w:r w:rsidRPr="002E2B83">
        <w:rPr>
          <w:b/>
          <w:u w:val="single"/>
        </w:rPr>
        <w:t>bir önceki yılın aynı ayına göre</w:t>
      </w:r>
      <w:r w:rsidRPr="002E2B83">
        <w:t xml:space="preserve"> yüzde 2,2 oranında azalış göstermiştir. Mart(2019) ayında önceki yıla göre ana sanayi sektörleri itibariyle en yüksek azalış yüzde 2,6 ile imalat sanayi sektöründe gerçekleşmiştir. Bu sektörü, yüzde 0,7 azalışla elektrik, gaz, buhar ve iklimlendirme üretimi ve dağıtımı sektörü takip etmiştir.  Madencilik ve </w:t>
      </w:r>
      <w:proofErr w:type="spellStart"/>
      <w:r w:rsidRPr="002E2B83">
        <w:t>taşocakçılığı</w:t>
      </w:r>
      <w:proofErr w:type="spellEnd"/>
      <w:r w:rsidRPr="002E2B83">
        <w:t xml:space="preserve"> sektöründe ise yüzde 2,2 artış gözlenmiştir.</w:t>
      </w:r>
    </w:p>
    <w:p w:rsidR="00F57480" w:rsidRPr="004E19A4" w:rsidRDefault="00F57480" w:rsidP="00F57480">
      <w:pPr>
        <w:jc w:val="both"/>
      </w:pPr>
      <w:r w:rsidRPr="004E19A4">
        <w:t xml:space="preserve">Ana sanayi gruplarına bakıldığında, ara malı imalatında yüzde 5,6’lık ve sermaye malı imalatında yüzde 3,2’lik azalış yaşanmıştır. Dayanıklı tüketim malı, enerji ve dayanıksız tüketim malı imalatında ise sırasıyla 5,1, 3,5 ve 0,6’lık artış görülmüştür. </w:t>
      </w:r>
    </w:p>
    <w:p w:rsidR="00F57480" w:rsidRPr="004E19A4" w:rsidRDefault="00F57480" w:rsidP="00F57480">
      <w:pPr>
        <w:jc w:val="both"/>
      </w:pPr>
      <w:r w:rsidRPr="004E19A4">
        <w:t xml:space="preserve">Bir önceki yılın aynı ayına göre değişime teknoloji sınıflarına göre bakıldığında en yüksek azalışın yüzde 9’luk azalışla orta düşük teknolojili üretimde olduğu görülmektedir. Orta düşük teknolojili üretimi yüzde 2,5’lik azalış ile orta yüksek teknolojili üretim takip etmiştir. Yüksek teknolojili üretimde </w:t>
      </w:r>
      <w:r>
        <w:t>yüzde 13,5</w:t>
      </w:r>
      <w:r w:rsidRPr="004E19A4">
        <w:t>’lik ve düşük teknolojili üretimde yüzde 0,6’lık artış olmuştur.</w:t>
      </w:r>
    </w:p>
    <w:p w:rsidR="00F57480" w:rsidRDefault="00F57480" w:rsidP="00F57480">
      <w:pPr>
        <w:jc w:val="both"/>
        <w:outlineLvl w:val="1"/>
        <w:rPr>
          <w:rFonts w:eastAsia="Times New Roman" w:cs="Times New Roman"/>
          <w:b/>
          <w:bCs/>
          <w:kern w:val="36"/>
          <w:sz w:val="28"/>
          <w:szCs w:val="24"/>
          <w:highlight w:val="yellow"/>
        </w:rPr>
      </w:pPr>
    </w:p>
    <w:p w:rsidR="00F57480" w:rsidRDefault="00F57480" w:rsidP="00F57480">
      <w:pPr>
        <w:jc w:val="both"/>
        <w:outlineLvl w:val="1"/>
        <w:rPr>
          <w:rFonts w:eastAsia="Times New Roman" w:cs="Times New Roman"/>
          <w:b/>
          <w:bCs/>
          <w:kern w:val="36"/>
          <w:sz w:val="28"/>
          <w:szCs w:val="24"/>
          <w:highlight w:val="yellow"/>
        </w:rPr>
      </w:pPr>
    </w:p>
    <w:p w:rsidR="00F57480" w:rsidRDefault="00F57480" w:rsidP="00F57480">
      <w:pPr>
        <w:jc w:val="both"/>
        <w:outlineLvl w:val="1"/>
        <w:rPr>
          <w:rFonts w:eastAsia="Times New Roman" w:cs="Times New Roman"/>
          <w:b/>
          <w:bCs/>
          <w:kern w:val="36"/>
          <w:sz w:val="28"/>
          <w:szCs w:val="24"/>
          <w:highlight w:val="yellow"/>
        </w:rPr>
      </w:pPr>
    </w:p>
    <w:p w:rsidR="00F57480" w:rsidRDefault="00F57480" w:rsidP="00F57480">
      <w:pPr>
        <w:jc w:val="both"/>
        <w:outlineLvl w:val="1"/>
        <w:rPr>
          <w:rFonts w:eastAsia="Times New Roman" w:cs="Times New Roman"/>
          <w:b/>
          <w:bCs/>
          <w:kern w:val="36"/>
          <w:sz w:val="28"/>
          <w:szCs w:val="24"/>
          <w:highlight w:val="yellow"/>
        </w:rPr>
      </w:pPr>
    </w:p>
    <w:p w:rsidR="00F57480" w:rsidRDefault="00F57480" w:rsidP="00F57480">
      <w:pPr>
        <w:jc w:val="both"/>
        <w:outlineLvl w:val="1"/>
        <w:rPr>
          <w:rFonts w:eastAsia="Times New Roman" w:cs="Times New Roman"/>
          <w:b/>
          <w:bCs/>
          <w:kern w:val="36"/>
          <w:sz w:val="28"/>
          <w:szCs w:val="24"/>
          <w:highlight w:val="yellow"/>
        </w:rPr>
      </w:pPr>
    </w:p>
    <w:p w:rsidR="00F57480" w:rsidRDefault="00F57480" w:rsidP="00F57480">
      <w:pPr>
        <w:jc w:val="both"/>
        <w:outlineLvl w:val="1"/>
        <w:rPr>
          <w:rFonts w:eastAsia="Times New Roman" w:cs="Times New Roman"/>
          <w:b/>
          <w:bCs/>
          <w:kern w:val="36"/>
          <w:sz w:val="28"/>
          <w:szCs w:val="24"/>
          <w:highlight w:val="yellow"/>
        </w:rPr>
      </w:pPr>
    </w:p>
    <w:p w:rsidR="00F57480" w:rsidRDefault="00F57480" w:rsidP="00F57480">
      <w:pPr>
        <w:jc w:val="both"/>
        <w:outlineLvl w:val="1"/>
        <w:rPr>
          <w:rFonts w:eastAsia="Times New Roman" w:cs="Times New Roman"/>
          <w:b/>
          <w:bCs/>
          <w:kern w:val="36"/>
          <w:sz w:val="28"/>
          <w:szCs w:val="24"/>
          <w:highlight w:val="yellow"/>
        </w:rPr>
      </w:pPr>
    </w:p>
    <w:p w:rsidR="00F57480" w:rsidRPr="00CF56CB" w:rsidRDefault="00F57480" w:rsidP="00F57480">
      <w:pPr>
        <w:jc w:val="both"/>
        <w:outlineLvl w:val="1"/>
        <w:rPr>
          <w:rFonts w:eastAsia="Times New Roman" w:cs="Times New Roman"/>
          <w:b/>
          <w:bCs/>
          <w:kern w:val="36"/>
          <w:sz w:val="28"/>
          <w:szCs w:val="24"/>
          <w:highlight w:val="yellow"/>
        </w:rPr>
      </w:pPr>
    </w:p>
    <w:tbl>
      <w:tblPr>
        <w:tblStyle w:val="TabloKlavuzu"/>
        <w:tblW w:w="0" w:type="auto"/>
        <w:tblLook w:val="04A0" w:firstRow="1" w:lastRow="0" w:firstColumn="1" w:lastColumn="0" w:noHBand="0" w:noVBand="1"/>
      </w:tblPr>
      <w:tblGrid>
        <w:gridCol w:w="4110"/>
        <w:gridCol w:w="2153"/>
        <w:gridCol w:w="2067"/>
      </w:tblGrid>
      <w:tr w:rsidR="00F57480" w:rsidRPr="004D5C8C" w:rsidTr="00954A74">
        <w:trPr>
          <w:trHeight w:val="264"/>
        </w:trPr>
        <w:tc>
          <w:tcPr>
            <w:tcW w:w="4110" w:type="dxa"/>
            <w:noWrap/>
            <w:hideMark/>
          </w:tcPr>
          <w:p w:rsidR="00F57480" w:rsidRPr="004D5C8C" w:rsidRDefault="00F57480" w:rsidP="00954A74">
            <w:pPr>
              <w:jc w:val="both"/>
            </w:pPr>
            <w:r w:rsidRPr="004D5C8C">
              <w:rPr>
                <w:b/>
              </w:rPr>
              <w:t xml:space="preserve">Tablo 1: Sanayi Üretim Endeksi Büyüme Oranları,  </w:t>
            </w:r>
            <w:r>
              <w:rPr>
                <w:b/>
              </w:rPr>
              <w:t>Mart 2019</w:t>
            </w:r>
          </w:p>
        </w:tc>
        <w:tc>
          <w:tcPr>
            <w:tcW w:w="2153" w:type="dxa"/>
            <w:noWrap/>
            <w:hideMark/>
          </w:tcPr>
          <w:p w:rsidR="00F57480" w:rsidRPr="004D5C8C" w:rsidRDefault="00F57480" w:rsidP="00954A74">
            <w:pPr>
              <w:jc w:val="both"/>
            </w:pPr>
            <w:r w:rsidRPr="004D5C8C">
              <w:t>Önceki Aya Göre (%)</w:t>
            </w:r>
          </w:p>
        </w:tc>
        <w:tc>
          <w:tcPr>
            <w:tcW w:w="2067" w:type="dxa"/>
            <w:noWrap/>
            <w:hideMark/>
          </w:tcPr>
          <w:p w:rsidR="00F57480" w:rsidRPr="004D5C8C" w:rsidRDefault="00F57480" w:rsidP="00954A74">
            <w:pPr>
              <w:jc w:val="both"/>
            </w:pPr>
            <w:r w:rsidRPr="004D5C8C">
              <w:t>Önceki Yıla Göre (%)</w:t>
            </w:r>
          </w:p>
        </w:tc>
      </w:tr>
      <w:tr w:rsidR="00F57480" w:rsidRPr="004D5C8C" w:rsidTr="00954A74">
        <w:trPr>
          <w:trHeight w:val="264"/>
        </w:trPr>
        <w:tc>
          <w:tcPr>
            <w:tcW w:w="4110" w:type="dxa"/>
            <w:noWrap/>
            <w:hideMark/>
          </w:tcPr>
          <w:p w:rsidR="00F57480" w:rsidRPr="004D5C8C" w:rsidRDefault="00F57480" w:rsidP="00954A74">
            <w:pPr>
              <w:jc w:val="both"/>
            </w:pPr>
            <w:r w:rsidRPr="004D5C8C">
              <w:t>Ara Malı</w:t>
            </w:r>
          </w:p>
        </w:tc>
        <w:tc>
          <w:tcPr>
            <w:tcW w:w="2153" w:type="dxa"/>
            <w:noWrap/>
            <w:vAlign w:val="center"/>
            <w:hideMark/>
          </w:tcPr>
          <w:p w:rsidR="00F57480" w:rsidRPr="004D5C8C" w:rsidRDefault="00F57480" w:rsidP="00954A74">
            <w:pPr>
              <w:jc w:val="center"/>
            </w:pPr>
            <w:r>
              <w:t>2,7</w:t>
            </w:r>
          </w:p>
        </w:tc>
        <w:tc>
          <w:tcPr>
            <w:tcW w:w="2067" w:type="dxa"/>
            <w:noWrap/>
            <w:vAlign w:val="center"/>
            <w:hideMark/>
          </w:tcPr>
          <w:p w:rsidR="00F57480" w:rsidRPr="004D5C8C" w:rsidRDefault="00F57480" w:rsidP="00954A74">
            <w:pPr>
              <w:jc w:val="center"/>
            </w:pPr>
            <w:r>
              <w:t>-5,6</w:t>
            </w:r>
          </w:p>
        </w:tc>
      </w:tr>
      <w:tr w:rsidR="00F57480" w:rsidRPr="004D5C8C" w:rsidTr="00954A74">
        <w:trPr>
          <w:trHeight w:val="264"/>
        </w:trPr>
        <w:tc>
          <w:tcPr>
            <w:tcW w:w="4110" w:type="dxa"/>
            <w:noWrap/>
            <w:hideMark/>
          </w:tcPr>
          <w:p w:rsidR="00F57480" w:rsidRPr="004D5C8C" w:rsidRDefault="00F57480" w:rsidP="00954A74">
            <w:pPr>
              <w:jc w:val="both"/>
            </w:pPr>
            <w:r w:rsidRPr="004D5C8C">
              <w:t>Dayanıklı Tüketim Malı</w:t>
            </w:r>
          </w:p>
        </w:tc>
        <w:tc>
          <w:tcPr>
            <w:tcW w:w="2153" w:type="dxa"/>
            <w:noWrap/>
            <w:vAlign w:val="center"/>
            <w:hideMark/>
          </w:tcPr>
          <w:p w:rsidR="00F57480" w:rsidRPr="004D5C8C" w:rsidRDefault="00F57480" w:rsidP="00954A74">
            <w:pPr>
              <w:jc w:val="center"/>
            </w:pPr>
            <w:r>
              <w:t>1,6</w:t>
            </w:r>
          </w:p>
        </w:tc>
        <w:tc>
          <w:tcPr>
            <w:tcW w:w="2067" w:type="dxa"/>
            <w:noWrap/>
            <w:vAlign w:val="center"/>
            <w:hideMark/>
          </w:tcPr>
          <w:p w:rsidR="00F57480" w:rsidRPr="004D5C8C" w:rsidRDefault="00F57480" w:rsidP="00954A74">
            <w:pPr>
              <w:jc w:val="center"/>
            </w:pPr>
            <w:r>
              <w:t>5,1</w:t>
            </w:r>
          </w:p>
        </w:tc>
      </w:tr>
      <w:tr w:rsidR="00F57480" w:rsidRPr="004D5C8C" w:rsidTr="00954A74">
        <w:trPr>
          <w:trHeight w:val="264"/>
        </w:trPr>
        <w:tc>
          <w:tcPr>
            <w:tcW w:w="4110" w:type="dxa"/>
            <w:noWrap/>
            <w:hideMark/>
          </w:tcPr>
          <w:p w:rsidR="00F57480" w:rsidRPr="004D5C8C" w:rsidRDefault="00F57480" w:rsidP="00954A74">
            <w:pPr>
              <w:jc w:val="both"/>
            </w:pPr>
            <w:r w:rsidRPr="004D5C8C">
              <w:t>Dayanıksız Tüketim Malı</w:t>
            </w:r>
          </w:p>
        </w:tc>
        <w:tc>
          <w:tcPr>
            <w:tcW w:w="2153" w:type="dxa"/>
            <w:noWrap/>
            <w:vAlign w:val="center"/>
            <w:hideMark/>
          </w:tcPr>
          <w:p w:rsidR="00F57480" w:rsidRPr="004D5C8C" w:rsidRDefault="00F57480" w:rsidP="00954A74">
            <w:pPr>
              <w:jc w:val="center"/>
            </w:pPr>
            <w:r>
              <w:t>1,4</w:t>
            </w:r>
          </w:p>
        </w:tc>
        <w:tc>
          <w:tcPr>
            <w:tcW w:w="2067" w:type="dxa"/>
            <w:noWrap/>
            <w:vAlign w:val="center"/>
            <w:hideMark/>
          </w:tcPr>
          <w:p w:rsidR="00F57480" w:rsidRPr="004D5C8C" w:rsidRDefault="00F57480" w:rsidP="00954A74">
            <w:r>
              <w:t xml:space="preserve">               0,6</w:t>
            </w:r>
          </w:p>
        </w:tc>
      </w:tr>
      <w:tr w:rsidR="00F57480" w:rsidRPr="004D5C8C" w:rsidTr="00954A74">
        <w:trPr>
          <w:trHeight w:val="264"/>
        </w:trPr>
        <w:tc>
          <w:tcPr>
            <w:tcW w:w="4110" w:type="dxa"/>
            <w:noWrap/>
            <w:hideMark/>
          </w:tcPr>
          <w:p w:rsidR="00F57480" w:rsidRPr="004D5C8C" w:rsidRDefault="00F57480" w:rsidP="00954A74">
            <w:pPr>
              <w:jc w:val="both"/>
            </w:pPr>
            <w:r w:rsidRPr="004D5C8C">
              <w:t>Enerji</w:t>
            </w:r>
          </w:p>
        </w:tc>
        <w:tc>
          <w:tcPr>
            <w:tcW w:w="2153" w:type="dxa"/>
            <w:noWrap/>
            <w:vAlign w:val="center"/>
            <w:hideMark/>
          </w:tcPr>
          <w:p w:rsidR="00F57480" w:rsidRPr="004D5C8C" w:rsidRDefault="00F57480" w:rsidP="00954A74">
            <w:pPr>
              <w:jc w:val="center"/>
            </w:pPr>
            <w:r>
              <w:t>-0,6</w:t>
            </w:r>
          </w:p>
        </w:tc>
        <w:tc>
          <w:tcPr>
            <w:tcW w:w="2067" w:type="dxa"/>
            <w:noWrap/>
            <w:vAlign w:val="center"/>
            <w:hideMark/>
          </w:tcPr>
          <w:p w:rsidR="00F57480" w:rsidRPr="004D5C8C" w:rsidRDefault="00F57480" w:rsidP="00954A74">
            <w:pPr>
              <w:jc w:val="center"/>
            </w:pPr>
            <w:r>
              <w:t>3,5</w:t>
            </w:r>
          </w:p>
        </w:tc>
      </w:tr>
      <w:tr w:rsidR="00F57480" w:rsidRPr="004D5C8C" w:rsidTr="00954A74">
        <w:trPr>
          <w:trHeight w:val="264"/>
        </w:trPr>
        <w:tc>
          <w:tcPr>
            <w:tcW w:w="4110" w:type="dxa"/>
            <w:noWrap/>
            <w:hideMark/>
          </w:tcPr>
          <w:p w:rsidR="00F57480" w:rsidRPr="004D5C8C" w:rsidRDefault="00F57480" w:rsidP="00954A74">
            <w:pPr>
              <w:jc w:val="both"/>
            </w:pPr>
            <w:r w:rsidRPr="004D5C8C">
              <w:t>Sermaye Malı</w:t>
            </w:r>
          </w:p>
        </w:tc>
        <w:tc>
          <w:tcPr>
            <w:tcW w:w="2153" w:type="dxa"/>
            <w:noWrap/>
            <w:vAlign w:val="center"/>
            <w:hideMark/>
          </w:tcPr>
          <w:p w:rsidR="00F57480" w:rsidRPr="004D5C8C" w:rsidRDefault="00F57480" w:rsidP="00954A74">
            <w:pPr>
              <w:jc w:val="center"/>
            </w:pPr>
            <w:r>
              <w:t>3,4</w:t>
            </w:r>
          </w:p>
        </w:tc>
        <w:tc>
          <w:tcPr>
            <w:tcW w:w="2067" w:type="dxa"/>
            <w:noWrap/>
            <w:vAlign w:val="center"/>
            <w:hideMark/>
          </w:tcPr>
          <w:p w:rsidR="00F57480" w:rsidRPr="004D5C8C" w:rsidRDefault="00F57480" w:rsidP="00954A74">
            <w:pPr>
              <w:jc w:val="center"/>
            </w:pPr>
            <w:r>
              <w:t>-3,2</w:t>
            </w:r>
          </w:p>
        </w:tc>
      </w:tr>
      <w:tr w:rsidR="00F57480" w:rsidRPr="004D5C8C" w:rsidTr="00954A74">
        <w:trPr>
          <w:trHeight w:val="264"/>
        </w:trPr>
        <w:tc>
          <w:tcPr>
            <w:tcW w:w="4110" w:type="dxa"/>
            <w:noWrap/>
            <w:hideMark/>
          </w:tcPr>
          <w:p w:rsidR="00F57480" w:rsidRPr="004D5C8C" w:rsidRDefault="00F57480" w:rsidP="00954A74">
            <w:pPr>
              <w:jc w:val="both"/>
              <w:rPr>
                <w:b/>
              </w:rPr>
            </w:pPr>
            <w:r w:rsidRPr="004D5C8C">
              <w:rPr>
                <w:b/>
              </w:rPr>
              <w:t>TOPLAM</w:t>
            </w:r>
          </w:p>
        </w:tc>
        <w:tc>
          <w:tcPr>
            <w:tcW w:w="2153" w:type="dxa"/>
            <w:noWrap/>
            <w:vAlign w:val="center"/>
            <w:hideMark/>
          </w:tcPr>
          <w:p w:rsidR="00F57480" w:rsidRPr="004D5C8C" w:rsidRDefault="00F57480" w:rsidP="00954A74">
            <w:pPr>
              <w:jc w:val="center"/>
              <w:rPr>
                <w:b/>
              </w:rPr>
            </w:pPr>
            <w:r>
              <w:rPr>
                <w:b/>
              </w:rPr>
              <w:t>2,1</w:t>
            </w:r>
          </w:p>
        </w:tc>
        <w:tc>
          <w:tcPr>
            <w:tcW w:w="2067" w:type="dxa"/>
            <w:noWrap/>
            <w:vAlign w:val="center"/>
            <w:hideMark/>
          </w:tcPr>
          <w:p w:rsidR="00F57480" w:rsidRPr="004D5C8C" w:rsidRDefault="00F57480" w:rsidP="00954A74">
            <w:pPr>
              <w:jc w:val="center"/>
              <w:rPr>
                <w:b/>
              </w:rPr>
            </w:pPr>
            <w:r>
              <w:rPr>
                <w:b/>
              </w:rPr>
              <w:t>-2,2</w:t>
            </w:r>
          </w:p>
        </w:tc>
      </w:tr>
      <w:tr w:rsidR="00F57480" w:rsidRPr="004D5C8C" w:rsidTr="00954A74">
        <w:trPr>
          <w:trHeight w:val="264"/>
        </w:trPr>
        <w:tc>
          <w:tcPr>
            <w:tcW w:w="4110" w:type="dxa"/>
            <w:shd w:val="clear" w:color="auto" w:fill="808080" w:themeFill="background1" w:themeFillShade="80"/>
            <w:noWrap/>
            <w:hideMark/>
          </w:tcPr>
          <w:p w:rsidR="00F57480" w:rsidRPr="004D5C8C" w:rsidRDefault="00F57480" w:rsidP="00954A74">
            <w:pPr>
              <w:jc w:val="both"/>
              <w:rPr>
                <w:b/>
              </w:rPr>
            </w:pPr>
          </w:p>
        </w:tc>
        <w:tc>
          <w:tcPr>
            <w:tcW w:w="2153" w:type="dxa"/>
            <w:shd w:val="clear" w:color="auto" w:fill="808080" w:themeFill="background1" w:themeFillShade="80"/>
            <w:noWrap/>
            <w:hideMark/>
          </w:tcPr>
          <w:p w:rsidR="00F57480" w:rsidRPr="004D5C8C" w:rsidRDefault="00F57480" w:rsidP="00954A74">
            <w:pPr>
              <w:jc w:val="both"/>
            </w:pPr>
          </w:p>
        </w:tc>
        <w:tc>
          <w:tcPr>
            <w:tcW w:w="2067" w:type="dxa"/>
            <w:shd w:val="clear" w:color="auto" w:fill="808080" w:themeFill="background1" w:themeFillShade="80"/>
            <w:noWrap/>
            <w:hideMark/>
          </w:tcPr>
          <w:p w:rsidR="00F57480" w:rsidRPr="004D5C8C" w:rsidRDefault="00F57480" w:rsidP="00954A74">
            <w:pPr>
              <w:jc w:val="both"/>
            </w:pPr>
          </w:p>
        </w:tc>
      </w:tr>
      <w:tr w:rsidR="00F57480" w:rsidRPr="004D5C8C" w:rsidTr="00954A74">
        <w:trPr>
          <w:trHeight w:val="264"/>
        </w:trPr>
        <w:tc>
          <w:tcPr>
            <w:tcW w:w="4110" w:type="dxa"/>
            <w:noWrap/>
            <w:hideMark/>
          </w:tcPr>
          <w:p w:rsidR="00F57480" w:rsidRPr="004D5C8C" w:rsidRDefault="00F57480" w:rsidP="00954A74">
            <w:pPr>
              <w:jc w:val="both"/>
            </w:pPr>
            <w:r>
              <w:rPr>
                <w:b/>
              </w:rPr>
              <w:t xml:space="preserve">Tablo 2: Sanayi Üretim Endeksi </w:t>
            </w:r>
            <w:proofErr w:type="spellStart"/>
            <w:r w:rsidRPr="004D5C8C">
              <w:rPr>
                <w:b/>
              </w:rPr>
              <w:t>Sektörel</w:t>
            </w:r>
            <w:proofErr w:type="spellEnd"/>
            <w:r w:rsidRPr="004D5C8C">
              <w:rPr>
                <w:b/>
              </w:rPr>
              <w:t xml:space="preserve"> Büyüme Oranları, </w:t>
            </w:r>
            <w:r>
              <w:rPr>
                <w:b/>
              </w:rPr>
              <w:t>Mart 2019</w:t>
            </w:r>
          </w:p>
        </w:tc>
        <w:tc>
          <w:tcPr>
            <w:tcW w:w="2153" w:type="dxa"/>
            <w:noWrap/>
            <w:hideMark/>
          </w:tcPr>
          <w:p w:rsidR="00F57480" w:rsidRPr="004D5C8C" w:rsidRDefault="00F57480" w:rsidP="00954A74">
            <w:pPr>
              <w:jc w:val="both"/>
            </w:pPr>
            <w:r w:rsidRPr="004D5C8C">
              <w:t>Önceki Aya Göre (%)</w:t>
            </w:r>
          </w:p>
        </w:tc>
        <w:tc>
          <w:tcPr>
            <w:tcW w:w="2067" w:type="dxa"/>
            <w:noWrap/>
            <w:hideMark/>
          </w:tcPr>
          <w:p w:rsidR="00F57480" w:rsidRPr="004D5C8C" w:rsidRDefault="00F57480" w:rsidP="00954A74">
            <w:pPr>
              <w:jc w:val="both"/>
            </w:pPr>
            <w:r w:rsidRPr="004D5C8C">
              <w:t>Önceki Yıla Göre (%)</w:t>
            </w:r>
          </w:p>
        </w:tc>
      </w:tr>
      <w:tr w:rsidR="00F57480" w:rsidRPr="004D5C8C" w:rsidTr="00954A74">
        <w:trPr>
          <w:trHeight w:val="264"/>
        </w:trPr>
        <w:tc>
          <w:tcPr>
            <w:tcW w:w="4110" w:type="dxa"/>
            <w:noWrap/>
            <w:hideMark/>
          </w:tcPr>
          <w:p w:rsidR="00F57480" w:rsidRPr="004D5C8C" w:rsidRDefault="00F57480" w:rsidP="00954A74">
            <w:r w:rsidRPr="004D5C8C">
              <w:t xml:space="preserve">Madencilik ve </w:t>
            </w:r>
            <w:proofErr w:type="spellStart"/>
            <w:r w:rsidRPr="004D5C8C">
              <w:t>Taşocakçılığı</w:t>
            </w:r>
            <w:proofErr w:type="spellEnd"/>
          </w:p>
        </w:tc>
        <w:tc>
          <w:tcPr>
            <w:tcW w:w="2153" w:type="dxa"/>
            <w:noWrap/>
            <w:vAlign w:val="center"/>
            <w:hideMark/>
          </w:tcPr>
          <w:p w:rsidR="00F57480" w:rsidRPr="004D5C8C" w:rsidRDefault="00F57480" w:rsidP="00954A74">
            <w:pPr>
              <w:jc w:val="center"/>
            </w:pPr>
            <w:r>
              <w:t>4,1</w:t>
            </w:r>
          </w:p>
        </w:tc>
        <w:tc>
          <w:tcPr>
            <w:tcW w:w="2067" w:type="dxa"/>
            <w:noWrap/>
            <w:vAlign w:val="center"/>
            <w:hideMark/>
          </w:tcPr>
          <w:p w:rsidR="00F57480" w:rsidRPr="004D5C8C" w:rsidRDefault="00F57480" w:rsidP="00954A74">
            <w:pPr>
              <w:jc w:val="center"/>
            </w:pPr>
            <w:r>
              <w:t>2,2</w:t>
            </w:r>
          </w:p>
        </w:tc>
      </w:tr>
      <w:tr w:rsidR="00F57480" w:rsidRPr="004D5C8C" w:rsidTr="00954A74">
        <w:trPr>
          <w:trHeight w:val="264"/>
        </w:trPr>
        <w:tc>
          <w:tcPr>
            <w:tcW w:w="4110" w:type="dxa"/>
            <w:noWrap/>
            <w:hideMark/>
          </w:tcPr>
          <w:p w:rsidR="00F57480" w:rsidRPr="004D5C8C" w:rsidRDefault="00F57480" w:rsidP="00954A74">
            <w:pPr>
              <w:jc w:val="both"/>
            </w:pPr>
            <w:r w:rsidRPr="004D5C8C">
              <w:t>İmalat Sanayi</w:t>
            </w:r>
          </w:p>
        </w:tc>
        <w:tc>
          <w:tcPr>
            <w:tcW w:w="2153" w:type="dxa"/>
            <w:noWrap/>
            <w:vAlign w:val="center"/>
            <w:hideMark/>
          </w:tcPr>
          <w:p w:rsidR="00F57480" w:rsidRPr="004D5C8C" w:rsidRDefault="00F57480" w:rsidP="00954A74">
            <w:pPr>
              <w:jc w:val="center"/>
            </w:pPr>
            <w:r>
              <w:t>2,2</w:t>
            </w:r>
          </w:p>
        </w:tc>
        <w:tc>
          <w:tcPr>
            <w:tcW w:w="2067" w:type="dxa"/>
            <w:noWrap/>
            <w:vAlign w:val="center"/>
            <w:hideMark/>
          </w:tcPr>
          <w:p w:rsidR="00F57480" w:rsidRPr="004D5C8C" w:rsidRDefault="00F57480" w:rsidP="00954A74">
            <w:pPr>
              <w:jc w:val="center"/>
            </w:pPr>
            <w:r>
              <w:t>-2,6</w:t>
            </w:r>
          </w:p>
        </w:tc>
      </w:tr>
      <w:tr w:rsidR="00F57480" w:rsidRPr="004D5C8C" w:rsidTr="00954A74">
        <w:trPr>
          <w:trHeight w:val="264"/>
        </w:trPr>
        <w:tc>
          <w:tcPr>
            <w:tcW w:w="4110" w:type="dxa"/>
            <w:noWrap/>
            <w:hideMark/>
          </w:tcPr>
          <w:p w:rsidR="00F57480" w:rsidRPr="004D5C8C" w:rsidRDefault="00F57480" w:rsidP="00954A74">
            <w:pPr>
              <w:jc w:val="both"/>
            </w:pPr>
            <w:r w:rsidRPr="004D5C8C">
              <w:t>Elektrik, Gaz, Buhar ve İklimlendirme Üretimi ve Dağıtımı</w:t>
            </w:r>
          </w:p>
        </w:tc>
        <w:tc>
          <w:tcPr>
            <w:tcW w:w="2153" w:type="dxa"/>
            <w:noWrap/>
            <w:vAlign w:val="center"/>
            <w:hideMark/>
          </w:tcPr>
          <w:p w:rsidR="00F57480" w:rsidRPr="004D5C8C" w:rsidRDefault="00F57480" w:rsidP="00954A74">
            <w:pPr>
              <w:jc w:val="center"/>
            </w:pPr>
            <w:r>
              <w:t>-0,6</w:t>
            </w:r>
          </w:p>
        </w:tc>
        <w:tc>
          <w:tcPr>
            <w:tcW w:w="2067" w:type="dxa"/>
            <w:noWrap/>
            <w:vAlign w:val="center"/>
            <w:hideMark/>
          </w:tcPr>
          <w:p w:rsidR="00F57480" w:rsidRPr="004D5C8C" w:rsidRDefault="00F57480" w:rsidP="00954A74">
            <w:pPr>
              <w:jc w:val="center"/>
            </w:pPr>
            <w:r>
              <w:t>-0,7</w:t>
            </w:r>
          </w:p>
        </w:tc>
      </w:tr>
      <w:tr w:rsidR="00F57480" w:rsidRPr="00160C8F" w:rsidTr="00954A74">
        <w:trPr>
          <w:trHeight w:val="264"/>
        </w:trPr>
        <w:tc>
          <w:tcPr>
            <w:tcW w:w="4110" w:type="dxa"/>
            <w:noWrap/>
            <w:hideMark/>
          </w:tcPr>
          <w:p w:rsidR="00F57480" w:rsidRPr="004D5C8C" w:rsidRDefault="00F57480" w:rsidP="00954A74">
            <w:pPr>
              <w:jc w:val="both"/>
              <w:rPr>
                <w:b/>
              </w:rPr>
            </w:pPr>
            <w:r w:rsidRPr="004D5C8C">
              <w:rPr>
                <w:b/>
              </w:rPr>
              <w:t>TOPLAM</w:t>
            </w:r>
          </w:p>
        </w:tc>
        <w:tc>
          <w:tcPr>
            <w:tcW w:w="2153" w:type="dxa"/>
            <w:noWrap/>
            <w:vAlign w:val="center"/>
            <w:hideMark/>
          </w:tcPr>
          <w:p w:rsidR="00F57480" w:rsidRPr="004D5C8C" w:rsidRDefault="00F57480" w:rsidP="00954A74">
            <w:pPr>
              <w:jc w:val="center"/>
              <w:rPr>
                <w:b/>
              </w:rPr>
            </w:pPr>
            <w:r>
              <w:rPr>
                <w:b/>
              </w:rPr>
              <w:t>2,1</w:t>
            </w:r>
          </w:p>
        </w:tc>
        <w:tc>
          <w:tcPr>
            <w:tcW w:w="2067" w:type="dxa"/>
            <w:noWrap/>
            <w:vAlign w:val="center"/>
            <w:hideMark/>
          </w:tcPr>
          <w:p w:rsidR="00F57480" w:rsidRPr="00424CC0" w:rsidRDefault="00F57480" w:rsidP="00954A74">
            <w:pPr>
              <w:jc w:val="center"/>
              <w:rPr>
                <w:b/>
              </w:rPr>
            </w:pPr>
            <w:r>
              <w:rPr>
                <w:b/>
              </w:rPr>
              <w:t>-2,2</w:t>
            </w:r>
          </w:p>
        </w:tc>
      </w:tr>
      <w:tr w:rsidR="00F57480" w:rsidRPr="00160C8F" w:rsidTr="00954A74">
        <w:trPr>
          <w:trHeight w:val="264"/>
        </w:trPr>
        <w:tc>
          <w:tcPr>
            <w:tcW w:w="4110" w:type="dxa"/>
            <w:shd w:val="clear" w:color="auto" w:fill="808080" w:themeFill="background1" w:themeFillShade="80"/>
            <w:noWrap/>
          </w:tcPr>
          <w:p w:rsidR="00F57480" w:rsidRPr="004D5C8C" w:rsidRDefault="00F57480" w:rsidP="00954A74">
            <w:pPr>
              <w:jc w:val="both"/>
              <w:rPr>
                <w:b/>
              </w:rPr>
            </w:pPr>
          </w:p>
        </w:tc>
        <w:tc>
          <w:tcPr>
            <w:tcW w:w="2153" w:type="dxa"/>
            <w:shd w:val="clear" w:color="auto" w:fill="808080" w:themeFill="background1" w:themeFillShade="80"/>
            <w:noWrap/>
            <w:vAlign w:val="center"/>
          </w:tcPr>
          <w:p w:rsidR="00F57480" w:rsidRDefault="00F57480" w:rsidP="00954A74">
            <w:pPr>
              <w:jc w:val="center"/>
              <w:rPr>
                <w:b/>
              </w:rPr>
            </w:pPr>
          </w:p>
        </w:tc>
        <w:tc>
          <w:tcPr>
            <w:tcW w:w="2067" w:type="dxa"/>
            <w:shd w:val="clear" w:color="auto" w:fill="808080" w:themeFill="background1" w:themeFillShade="80"/>
            <w:noWrap/>
            <w:vAlign w:val="center"/>
          </w:tcPr>
          <w:p w:rsidR="00F57480" w:rsidRDefault="00F57480" w:rsidP="00954A74">
            <w:pPr>
              <w:jc w:val="center"/>
              <w:rPr>
                <w:b/>
              </w:rPr>
            </w:pPr>
          </w:p>
        </w:tc>
      </w:tr>
      <w:tr w:rsidR="00F57480" w:rsidRPr="00160C8F" w:rsidTr="00954A74">
        <w:trPr>
          <w:trHeight w:val="264"/>
        </w:trPr>
        <w:tc>
          <w:tcPr>
            <w:tcW w:w="4110" w:type="dxa"/>
            <w:noWrap/>
          </w:tcPr>
          <w:p w:rsidR="00F57480" w:rsidRPr="004D5C8C" w:rsidRDefault="00F57480" w:rsidP="00954A74">
            <w:pPr>
              <w:jc w:val="both"/>
              <w:rPr>
                <w:b/>
              </w:rPr>
            </w:pPr>
            <w:r>
              <w:rPr>
                <w:b/>
              </w:rPr>
              <w:t>Tablo 3. Sanayi Üretim Endeksi Teknoloji Sınıflarına Göre Büyüme Oranları, Mart 2019</w:t>
            </w:r>
          </w:p>
        </w:tc>
        <w:tc>
          <w:tcPr>
            <w:tcW w:w="2153" w:type="dxa"/>
            <w:noWrap/>
          </w:tcPr>
          <w:p w:rsidR="00F57480" w:rsidRPr="004D5C8C" w:rsidRDefault="00F57480" w:rsidP="00954A74">
            <w:pPr>
              <w:jc w:val="both"/>
            </w:pPr>
            <w:r w:rsidRPr="004D5C8C">
              <w:t>Önceki Aya Göre (%)</w:t>
            </w:r>
          </w:p>
        </w:tc>
        <w:tc>
          <w:tcPr>
            <w:tcW w:w="2067" w:type="dxa"/>
            <w:noWrap/>
          </w:tcPr>
          <w:p w:rsidR="00F57480" w:rsidRPr="004D5C8C" w:rsidRDefault="00F57480" w:rsidP="00954A74">
            <w:pPr>
              <w:jc w:val="both"/>
            </w:pPr>
            <w:r w:rsidRPr="004D5C8C">
              <w:t>Önceki Yıla Göre (%)</w:t>
            </w:r>
          </w:p>
        </w:tc>
      </w:tr>
      <w:tr w:rsidR="00F57480" w:rsidRPr="00160C8F" w:rsidTr="00954A74">
        <w:trPr>
          <w:trHeight w:val="264"/>
        </w:trPr>
        <w:tc>
          <w:tcPr>
            <w:tcW w:w="4110" w:type="dxa"/>
            <w:noWrap/>
          </w:tcPr>
          <w:p w:rsidR="00F57480" w:rsidRPr="00A23FB2" w:rsidRDefault="00F57480" w:rsidP="00954A74">
            <w:pPr>
              <w:jc w:val="both"/>
            </w:pPr>
            <w:r>
              <w:t>Düşük T</w:t>
            </w:r>
            <w:r w:rsidRPr="00A23FB2">
              <w:t>eknoloji</w:t>
            </w:r>
          </w:p>
        </w:tc>
        <w:tc>
          <w:tcPr>
            <w:tcW w:w="2153" w:type="dxa"/>
            <w:noWrap/>
            <w:vAlign w:val="center"/>
          </w:tcPr>
          <w:p w:rsidR="00F57480" w:rsidRPr="00176D24" w:rsidRDefault="00F57480" w:rsidP="00954A74">
            <w:pPr>
              <w:jc w:val="center"/>
            </w:pPr>
            <w:r>
              <w:t>2,2</w:t>
            </w:r>
          </w:p>
        </w:tc>
        <w:tc>
          <w:tcPr>
            <w:tcW w:w="2067" w:type="dxa"/>
            <w:noWrap/>
            <w:vAlign w:val="center"/>
          </w:tcPr>
          <w:p w:rsidR="00F57480" w:rsidRPr="00176D24" w:rsidRDefault="00F57480" w:rsidP="00954A74">
            <w:pPr>
              <w:jc w:val="center"/>
            </w:pPr>
            <w:r>
              <w:t>0,6</w:t>
            </w:r>
          </w:p>
        </w:tc>
      </w:tr>
      <w:tr w:rsidR="00F57480" w:rsidRPr="00160C8F" w:rsidTr="00954A74">
        <w:trPr>
          <w:trHeight w:val="264"/>
        </w:trPr>
        <w:tc>
          <w:tcPr>
            <w:tcW w:w="4110" w:type="dxa"/>
            <w:noWrap/>
          </w:tcPr>
          <w:p w:rsidR="00F57480" w:rsidRPr="00A23FB2" w:rsidRDefault="00F57480" w:rsidP="00954A74">
            <w:pPr>
              <w:jc w:val="both"/>
            </w:pPr>
            <w:r>
              <w:t>Orta Düşük T</w:t>
            </w:r>
            <w:r w:rsidRPr="00A23FB2">
              <w:t>eknoloji</w:t>
            </w:r>
          </w:p>
        </w:tc>
        <w:tc>
          <w:tcPr>
            <w:tcW w:w="2153" w:type="dxa"/>
            <w:noWrap/>
            <w:vAlign w:val="center"/>
          </w:tcPr>
          <w:p w:rsidR="00F57480" w:rsidRPr="00176D24" w:rsidRDefault="00F57480" w:rsidP="00954A74">
            <w:pPr>
              <w:jc w:val="center"/>
            </w:pPr>
            <w:r>
              <w:t>1,5</w:t>
            </w:r>
          </w:p>
        </w:tc>
        <w:tc>
          <w:tcPr>
            <w:tcW w:w="2067" w:type="dxa"/>
            <w:noWrap/>
            <w:vAlign w:val="center"/>
          </w:tcPr>
          <w:p w:rsidR="00F57480" w:rsidRPr="00176D24" w:rsidRDefault="00F57480" w:rsidP="00954A74">
            <w:pPr>
              <w:jc w:val="center"/>
            </w:pPr>
            <w:r>
              <w:t>-9,0</w:t>
            </w:r>
          </w:p>
        </w:tc>
      </w:tr>
      <w:tr w:rsidR="00F57480" w:rsidRPr="00160C8F" w:rsidTr="00954A74">
        <w:trPr>
          <w:trHeight w:val="264"/>
        </w:trPr>
        <w:tc>
          <w:tcPr>
            <w:tcW w:w="4110" w:type="dxa"/>
            <w:noWrap/>
          </w:tcPr>
          <w:p w:rsidR="00F57480" w:rsidRPr="00A23FB2" w:rsidRDefault="00F57480" w:rsidP="00954A74">
            <w:pPr>
              <w:jc w:val="both"/>
            </w:pPr>
            <w:r>
              <w:t>Orta Yüksek T</w:t>
            </w:r>
            <w:r w:rsidRPr="00A23FB2">
              <w:t>eknoloji</w:t>
            </w:r>
          </w:p>
        </w:tc>
        <w:tc>
          <w:tcPr>
            <w:tcW w:w="2153" w:type="dxa"/>
            <w:noWrap/>
            <w:vAlign w:val="center"/>
          </w:tcPr>
          <w:p w:rsidR="00F57480" w:rsidRPr="00176D24" w:rsidRDefault="00F57480" w:rsidP="00954A74">
            <w:pPr>
              <w:jc w:val="center"/>
            </w:pPr>
            <w:r>
              <w:t>4,2</w:t>
            </w:r>
          </w:p>
        </w:tc>
        <w:tc>
          <w:tcPr>
            <w:tcW w:w="2067" w:type="dxa"/>
            <w:noWrap/>
            <w:vAlign w:val="center"/>
          </w:tcPr>
          <w:p w:rsidR="00F57480" w:rsidRPr="00176D24" w:rsidRDefault="00F57480" w:rsidP="00954A74">
            <w:r>
              <w:t xml:space="preserve">                -2,5</w:t>
            </w:r>
          </w:p>
        </w:tc>
      </w:tr>
      <w:tr w:rsidR="00F57480" w:rsidRPr="00160C8F" w:rsidTr="00954A74">
        <w:trPr>
          <w:trHeight w:val="264"/>
        </w:trPr>
        <w:tc>
          <w:tcPr>
            <w:tcW w:w="4110" w:type="dxa"/>
            <w:noWrap/>
          </w:tcPr>
          <w:p w:rsidR="00F57480" w:rsidRPr="00A23FB2" w:rsidRDefault="00F57480" w:rsidP="00954A74">
            <w:pPr>
              <w:jc w:val="both"/>
            </w:pPr>
            <w:r>
              <w:t>Yüksek T</w:t>
            </w:r>
            <w:r w:rsidRPr="00A23FB2">
              <w:t>eknoloji</w:t>
            </w:r>
          </w:p>
        </w:tc>
        <w:tc>
          <w:tcPr>
            <w:tcW w:w="2153" w:type="dxa"/>
            <w:noWrap/>
            <w:vAlign w:val="center"/>
          </w:tcPr>
          <w:p w:rsidR="00F57480" w:rsidRPr="00176D24" w:rsidRDefault="00F57480" w:rsidP="00954A74">
            <w:pPr>
              <w:jc w:val="center"/>
            </w:pPr>
            <w:r>
              <w:t>-1,8</w:t>
            </w:r>
          </w:p>
        </w:tc>
        <w:tc>
          <w:tcPr>
            <w:tcW w:w="2067" w:type="dxa"/>
            <w:noWrap/>
            <w:vAlign w:val="center"/>
          </w:tcPr>
          <w:p w:rsidR="00F57480" w:rsidRPr="00176D24" w:rsidRDefault="00F57480" w:rsidP="00954A74">
            <w:pPr>
              <w:jc w:val="center"/>
            </w:pPr>
            <w:r>
              <w:t>13,5</w:t>
            </w:r>
          </w:p>
        </w:tc>
      </w:tr>
      <w:tr w:rsidR="00F57480" w:rsidRPr="00160C8F" w:rsidTr="00954A74">
        <w:trPr>
          <w:trHeight w:val="264"/>
        </w:trPr>
        <w:tc>
          <w:tcPr>
            <w:tcW w:w="4110" w:type="dxa"/>
            <w:noWrap/>
          </w:tcPr>
          <w:p w:rsidR="00F57480" w:rsidRDefault="00F57480" w:rsidP="00954A74">
            <w:pPr>
              <w:jc w:val="both"/>
              <w:rPr>
                <w:b/>
              </w:rPr>
            </w:pPr>
            <w:r>
              <w:rPr>
                <w:b/>
              </w:rPr>
              <w:t>TOPLAM</w:t>
            </w:r>
          </w:p>
        </w:tc>
        <w:tc>
          <w:tcPr>
            <w:tcW w:w="2153" w:type="dxa"/>
            <w:noWrap/>
            <w:vAlign w:val="center"/>
          </w:tcPr>
          <w:p w:rsidR="00F57480" w:rsidRPr="00176D24" w:rsidRDefault="00F57480" w:rsidP="00954A74">
            <w:pPr>
              <w:jc w:val="center"/>
              <w:rPr>
                <w:b/>
              </w:rPr>
            </w:pPr>
            <w:r>
              <w:rPr>
                <w:b/>
              </w:rPr>
              <w:t>2,1</w:t>
            </w:r>
          </w:p>
        </w:tc>
        <w:tc>
          <w:tcPr>
            <w:tcW w:w="2067" w:type="dxa"/>
            <w:noWrap/>
            <w:vAlign w:val="center"/>
          </w:tcPr>
          <w:p w:rsidR="00F57480" w:rsidRDefault="00F57480" w:rsidP="00954A74">
            <w:pPr>
              <w:jc w:val="center"/>
              <w:rPr>
                <w:b/>
              </w:rPr>
            </w:pPr>
            <w:r>
              <w:rPr>
                <w:b/>
              </w:rPr>
              <w:t>-2,2</w:t>
            </w:r>
          </w:p>
        </w:tc>
      </w:tr>
    </w:tbl>
    <w:p w:rsidR="00F57480" w:rsidRDefault="00F57480" w:rsidP="00F57480">
      <w:pPr>
        <w:jc w:val="both"/>
      </w:pPr>
    </w:p>
    <w:p w:rsidR="00CC7C77" w:rsidRDefault="00CC7C77" w:rsidP="00833A80">
      <w:pPr>
        <w:jc w:val="center"/>
        <w:rPr>
          <w:rFonts w:ascii="Times New Roman" w:hAnsi="Times New Roman" w:cs="Times New Roman"/>
          <w:b/>
          <w:color w:val="1F4E79" w:themeColor="accent1" w:themeShade="80"/>
          <w:sz w:val="40"/>
          <w:szCs w:val="40"/>
        </w:rPr>
      </w:pPr>
    </w:p>
    <w:p w:rsidR="0083541E" w:rsidRDefault="0083541E" w:rsidP="00833A80">
      <w:pPr>
        <w:jc w:val="center"/>
        <w:rPr>
          <w:rFonts w:ascii="Times New Roman" w:hAnsi="Times New Roman" w:cs="Times New Roman"/>
          <w:b/>
          <w:color w:val="1F4E79" w:themeColor="accent1" w:themeShade="80"/>
          <w:sz w:val="40"/>
          <w:szCs w:val="40"/>
        </w:rPr>
      </w:pPr>
    </w:p>
    <w:p w:rsidR="0083541E" w:rsidRDefault="0083541E" w:rsidP="00833A80">
      <w:pPr>
        <w:jc w:val="center"/>
        <w:rPr>
          <w:rFonts w:ascii="Times New Roman" w:hAnsi="Times New Roman" w:cs="Times New Roman"/>
          <w:b/>
          <w:color w:val="1F4E79" w:themeColor="accent1" w:themeShade="80"/>
          <w:sz w:val="32"/>
          <w:szCs w:val="32"/>
        </w:rPr>
      </w:pPr>
      <w:r w:rsidRPr="0083541E">
        <w:rPr>
          <w:rFonts w:ascii="Times New Roman" w:hAnsi="Times New Roman" w:cs="Times New Roman"/>
          <w:b/>
          <w:color w:val="1F4E79" w:themeColor="accent1" w:themeShade="80"/>
          <w:sz w:val="32"/>
          <w:szCs w:val="32"/>
        </w:rPr>
        <w:lastRenderedPageBreak/>
        <w:t>2019 NİSAN AYINA AİT KURULAN KAPANAN ŞİRLKET İSTATİSTİKLERİ</w:t>
      </w:r>
    </w:p>
    <w:p w:rsidR="0083541E" w:rsidRPr="004B27A7" w:rsidRDefault="0083541E" w:rsidP="0083541E">
      <w:pPr>
        <w:jc w:val="both"/>
        <w:rPr>
          <w:rFonts w:ascii="Arial" w:hAnsi="Arial" w:cs="Arial"/>
          <w:b/>
        </w:rPr>
      </w:pPr>
      <w:r w:rsidRPr="004B27A7">
        <w:rPr>
          <w:rFonts w:ascii="Arial" w:hAnsi="Arial" w:cs="Arial"/>
          <w:b/>
        </w:rPr>
        <w:t>201</w:t>
      </w:r>
      <w:r>
        <w:rPr>
          <w:rFonts w:ascii="Arial" w:hAnsi="Arial" w:cs="Arial"/>
          <w:b/>
        </w:rPr>
        <w:t xml:space="preserve">9 yılı Nisan ayında kurulan kooperatiflerin </w:t>
      </w:r>
      <w:r w:rsidRPr="004B27A7">
        <w:rPr>
          <w:rFonts w:ascii="Arial" w:hAnsi="Arial" w:cs="Arial"/>
          <w:b/>
        </w:rPr>
        <w:t>s</w:t>
      </w:r>
      <w:r>
        <w:rPr>
          <w:rFonts w:ascii="Arial" w:hAnsi="Arial" w:cs="Arial"/>
          <w:b/>
        </w:rPr>
        <w:t>ayısında bir önceki aya göre %2,13</w:t>
      </w:r>
      <w:r w:rsidRPr="004B27A7">
        <w:rPr>
          <w:rFonts w:ascii="Arial" w:hAnsi="Arial" w:cs="Arial"/>
          <w:b/>
        </w:rPr>
        <w:t xml:space="preserve"> </w:t>
      </w:r>
      <w:r>
        <w:rPr>
          <w:rFonts w:ascii="Arial" w:hAnsi="Arial" w:cs="Arial"/>
          <w:b/>
        </w:rPr>
        <w:t>artış</w:t>
      </w:r>
      <w:r w:rsidRPr="004B27A7">
        <w:rPr>
          <w:rFonts w:ascii="Arial" w:hAnsi="Arial" w:cs="Arial"/>
          <w:b/>
        </w:rPr>
        <w:t xml:space="preserve"> oldu.</w:t>
      </w:r>
    </w:p>
    <w:p w:rsidR="0083541E" w:rsidRPr="004B27A7" w:rsidRDefault="0083541E" w:rsidP="0083541E">
      <w:pPr>
        <w:pStyle w:val="ListeParagraf"/>
        <w:numPr>
          <w:ilvl w:val="0"/>
          <w:numId w:val="1"/>
        </w:numPr>
        <w:spacing w:line="360" w:lineRule="auto"/>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 xml:space="preserve">öre kurulan şirket sayısı %5,16 kurulan </w:t>
      </w:r>
      <w:r w:rsidRPr="004B27A7">
        <w:rPr>
          <w:rFonts w:ascii="Arial" w:hAnsi="Arial" w:cs="Arial"/>
          <w:sz w:val="20"/>
          <w:szCs w:val="20"/>
        </w:rPr>
        <w:t>gerçek k</w:t>
      </w:r>
      <w:r>
        <w:rPr>
          <w:rFonts w:ascii="Arial" w:hAnsi="Arial" w:cs="Arial"/>
          <w:sz w:val="20"/>
          <w:szCs w:val="20"/>
        </w:rPr>
        <w:t>işi ticari işletme sayısı %2,19 oranında azalmış olup kurulan</w:t>
      </w:r>
      <w:r w:rsidRPr="004B27A7">
        <w:rPr>
          <w:rFonts w:ascii="Arial" w:hAnsi="Arial" w:cs="Arial"/>
          <w:sz w:val="20"/>
          <w:szCs w:val="20"/>
        </w:rPr>
        <w:t xml:space="preserve"> </w:t>
      </w:r>
      <w:r>
        <w:rPr>
          <w:rFonts w:ascii="Arial" w:hAnsi="Arial" w:cs="Arial"/>
          <w:sz w:val="20"/>
          <w:szCs w:val="20"/>
        </w:rPr>
        <w:t xml:space="preserve">kooperatif sayısı %2,13 oranında artmıştır. </w:t>
      </w:r>
      <w:r w:rsidRPr="004B27A7">
        <w:rPr>
          <w:rFonts w:ascii="Arial" w:hAnsi="Arial" w:cs="Arial"/>
          <w:sz w:val="20"/>
          <w:szCs w:val="20"/>
        </w:rPr>
        <w:t xml:space="preserve"> </w:t>
      </w:r>
    </w:p>
    <w:p w:rsidR="0083541E" w:rsidRDefault="0083541E" w:rsidP="0083541E">
      <w:pPr>
        <w:pStyle w:val="ListeParagraf"/>
        <w:numPr>
          <w:ilvl w:val="0"/>
          <w:numId w:val="1"/>
        </w:numPr>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kapanan şirket sayısında %13,44 oranında artış olup kapanan kooperatif sayısında</w:t>
      </w:r>
      <w:r w:rsidRPr="004B27A7">
        <w:rPr>
          <w:rFonts w:ascii="Arial" w:hAnsi="Arial" w:cs="Arial"/>
          <w:sz w:val="20"/>
          <w:szCs w:val="20"/>
        </w:rPr>
        <w:t xml:space="preserve"> </w:t>
      </w:r>
      <w:r>
        <w:rPr>
          <w:rFonts w:ascii="Arial" w:hAnsi="Arial" w:cs="Arial"/>
          <w:sz w:val="20"/>
          <w:szCs w:val="20"/>
        </w:rPr>
        <w:t xml:space="preserve">%5,66 kapanan </w:t>
      </w:r>
      <w:r w:rsidRPr="004B27A7">
        <w:rPr>
          <w:rFonts w:ascii="Arial" w:hAnsi="Arial" w:cs="Arial"/>
          <w:sz w:val="20"/>
          <w:szCs w:val="20"/>
        </w:rPr>
        <w:t>gerçek k</w:t>
      </w:r>
      <w:r>
        <w:rPr>
          <w:rFonts w:ascii="Arial" w:hAnsi="Arial" w:cs="Arial"/>
          <w:sz w:val="20"/>
          <w:szCs w:val="20"/>
        </w:rPr>
        <w:t>işi ticari işletme sayısında %22,58</w:t>
      </w:r>
      <w:r w:rsidRPr="004B27A7">
        <w:rPr>
          <w:rFonts w:ascii="Arial" w:hAnsi="Arial" w:cs="Arial"/>
          <w:sz w:val="20"/>
          <w:szCs w:val="20"/>
        </w:rPr>
        <w:t xml:space="preserve"> </w:t>
      </w:r>
      <w:r>
        <w:rPr>
          <w:rFonts w:ascii="Arial" w:hAnsi="Arial" w:cs="Arial"/>
          <w:sz w:val="20"/>
          <w:szCs w:val="20"/>
        </w:rPr>
        <w:t>azalış olmuştur</w:t>
      </w:r>
      <w:r w:rsidRPr="004B27A7">
        <w:rPr>
          <w:rFonts w:ascii="Arial" w:hAnsi="Arial" w:cs="Arial"/>
          <w:sz w:val="20"/>
          <w:szCs w:val="20"/>
        </w:rPr>
        <w:t>.</w:t>
      </w:r>
    </w:p>
    <w:p w:rsidR="0083541E" w:rsidRPr="004B27A7" w:rsidRDefault="0083541E" w:rsidP="0083541E">
      <w:pPr>
        <w:jc w:val="both"/>
        <w:rPr>
          <w:rFonts w:ascii="Arial" w:hAnsi="Arial" w:cs="Arial"/>
        </w:rPr>
      </w:pPr>
      <w:r w:rsidRPr="004B27A7">
        <w:rPr>
          <w:rFonts w:ascii="Arial" w:hAnsi="Arial" w:cs="Arial"/>
          <w:b/>
        </w:rPr>
        <w:t>K</w:t>
      </w:r>
      <w:r>
        <w:rPr>
          <w:rFonts w:ascii="Arial" w:hAnsi="Arial" w:cs="Arial"/>
          <w:b/>
        </w:rPr>
        <w:t>apanan</w:t>
      </w:r>
      <w:r w:rsidRPr="004B27A7">
        <w:rPr>
          <w:rFonts w:ascii="Arial" w:hAnsi="Arial" w:cs="Arial"/>
          <w:b/>
        </w:rPr>
        <w:t xml:space="preserve"> </w:t>
      </w:r>
      <w:r>
        <w:rPr>
          <w:rFonts w:ascii="Arial" w:hAnsi="Arial" w:cs="Arial"/>
          <w:b/>
        </w:rPr>
        <w:t>kooperatif</w:t>
      </w:r>
      <w:r w:rsidRPr="004B27A7">
        <w:rPr>
          <w:rFonts w:ascii="Arial" w:hAnsi="Arial" w:cs="Arial"/>
          <w:b/>
        </w:rPr>
        <w:t xml:space="preserve"> sayısınd</w:t>
      </w:r>
      <w:r>
        <w:rPr>
          <w:rFonts w:ascii="Arial" w:hAnsi="Arial" w:cs="Arial"/>
          <w:b/>
        </w:rPr>
        <w:t>a geçen yılın aynı ayına göre %11,11</w:t>
      </w:r>
      <w:r w:rsidRPr="004B27A7">
        <w:rPr>
          <w:rFonts w:ascii="Arial" w:hAnsi="Arial" w:cs="Arial"/>
          <w:b/>
        </w:rPr>
        <w:t xml:space="preserve"> </w:t>
      </w:r>
      <w:r>
        <w:rPr>
          <w:rFonts w:ascii="Arial" w:hAnsi="Arial" w:cs="Arial"/>
          <w:b/>
        </w:rPr>
        <w:t>oranında artış</w:t>
      </w:r>
      <w:r w:rsidRPr="004B27A7">
        <w:rPr>
          <w:rFonts w:ascii="Arial" w:hAnsi="Arial" w:cs="Arial"/>
          <w:b/>
        </w:rPr>
        <w:t xml:space="preserve"> oldu.</w:t>
      </w:r>
    </w:p>
    <w:p w:rsidR="0083541E" w:rsidRPr="004B27A7" w:rsidRDefault="0083541E" w:rsidP="0083541E">
      <w:pPr>
        <w:pStyle w:val="ListeParagraf"/>
        <w:numPr>
          <w:ilvl w:val="0"/>
          <w:numId w:val="1"/>
        </w:numPr>
        <w:jc w:val="both"/>
        <w:rPr>
          <w:rFonts w:ascii="Arial" w:hAnsi="Arial" w:cs="Arial"/>
          <w:sz w:val="20"/>
          <w:szCs w:val="20"/>
        </w:rPr>
      </w:pPr>
      <w:r>
        <w:rPr>
          <w:rFonts w:ascii="Arial" w:hAnsi="Arial" w:cs="Arial"/>
          <w:sz w:val="20"/>
          <w:szCs w:val="20"/>
        </w:rPr>
        <w:t>2019</w:t>
      </w:r>
      <w:r w:rsidRPr="004B27A7">
        <w:rPr>
          <w:rFonts w:ascii="Arial" w:hAnsi="Arial" w:cs="Arial"/>
          <w:sz w:val="20"/>
          <w:szCs w:val="20"/>
        </w:rPr>
        <w:t xml:space="preserve"> yılı </w:t>
      </w:r>
      <w:r>
        <w:rPr>
          <w:rFonts w:ascii="Arial" w:hAnsi="Arial" w:cs="Arial"/>
          <w:sz w:val="20"/>
          <w:szCs w:val="20"/>
        </w:rPr>
        <w:t>Nisan</w:t>
      </w:r>
      <w:r w:rsidRPr="004B27A7">
        <w:rPr>
          <w:rFonts w:ascii="Arial" w:hAnsi="Arial" w:cs="Arial"/>
          <w:sz w:val="20"/>
          <w:szCs w:val="20"/>
        </w:rPr>
        <w:t xml:space="preserve"> </w:t>
      </w:r>
      <w:r>
        <w:rPr>
          <w:rFonts w:ascii="Arial" w:hAnsi="Arial" w:cs="Arial"/>
          <w:sz w:val="20"/>
          <w:szCs w:val="20"/>
        </w:rPr>
        <w:t>ayında, 2018</w:t>
      </w:r>
      <w:r w:rsidRPr="004B27A7">
        <w:rPr>
          <w:rFonts w:ascii="Arial" w:hAnsi="Arial" w:cs="Arial"/>
          <w:sz w:val="20"/>
          <w:szCs w:val="20"/>
        </w:rPr>
        <w:t xml:space="preserve"> yılı </w:t>
      </w:r>
      <w:r>
        <w:rPr>
          <w:rFonts w:ascii="Arial" w:hAnsi="Arial" w:cs="Arial"/>
          <w:sz w:val="20"/>
          <w:szCs w:val="20"/>
        </w:rPr>
        <w:t>Nisan</w:t>
      </w:r>
      <w:r w:rsidRPr="004B27A7">
        <w:rPr>
          <w:rFonts w:ascii="Arial" w:hAnsi="Arial" w:cs="Arial"/>
          <w:sz w:val="20"/>
          <w:szCs w:val="20"/>
        </w:rPr>
        <w:t xml:space="preserve"> ayına g</w:t>
      </w:r>
      <w:r>
        <w:rPr>
          <w:rFonts w:ascii="Arial" w:hAnsi="Arial" w:cs="Arial"/>
          <w:sz w:val="20"/>
          <w:szCs w:val="20"/>
        </w:rPr>
        <w:t>öre kurulan şirket sayısı %20,85 kurulan kooperatif sayısı %10,28 kurulan</w:t>
      </w:r>
      <w:r w:rsidRPr="004B27A7">
        <w:rPr>
          <w:rFonts w:ascii="Arial" w:hAnsi="Arial" w:cs="Arial"/>
          <w:sz w:val="20"/>
          <w:szCs w:val="20"/>
        </w:rPr>
        <w:t xml:space="preserve"> gerç</w:t>
      </w:r>
      <w:r>
        <w:rPr>
          <w:rFonts w:ascii="Arial" w:hAnsi="Arial" w:cs="Arial"/>
          <w:sz w:val="20"/>
          <w:szCs w:val="20"/>
        </w:rPr>
        <w:t>ek kişi ticari işletme sayısı</w:t>
      </w:r>
      <w:r w:rsidRPr="004B27A7">
        <w:rPr>
          <w:rFonts w:ascii="Arial" w:hAnsi="Arial" w:cs="Arial"/>
          <w:sz w:val="20"/>
          <w:szCs w:val="20"/>
        </w:rPr>
        <w:t xml:space="preserve"> %</w:t>
      </w:r>
      <w:r>
        <w:rPr>
          <w:rFonts w:ascii="Arial" w:hAnsi="Arial" w:cs="Arial"/>
          <w:sz w:val="20"/>
          <w:szCs w:val="20"/>
        </w:rPr>
        <w:t>53,07 oranında azalmıştır.</w:t>
      </w:r>
      <w:r w:rsidRPr="004B27A7">
        <w:rPr>
          <w:rFonts w:ascii="Arial" w:hAnsi="Arial" w:cs="Arial"/>
          <w:sz w:val="20"/>
          <w:szCs w:val="20"/>
        </w:rPr>
        <w:t xml:space="preserve"> </w:t>
      </w:r>
    </w:p>
    <w:p w:rsidR="0083541E" w:rsidRPr="004B27A7" w:rsidRDefault="0083541E" w:rsidP="0083541E">
      <w:pPr>
        <w:jc w:val="both"/>
        <w:rPr>
          <w:rFonts w:ascii="Arial" w:hAnsi="Arial" w:cs="Arial"/>
          <w:b/>
        </w:rPr>
      </w:pPr>
      <w:r>
        <w:rPr>
          <w:rFonts w:ascii="Arial" w:hAnsi="Arial" w:cs="Arial"/>
          <w:b/>
        </w:rPr>
        <w:t>2019</w:t>
      </w:r>
      <w:r w:rsidRPr="004B27A7">
        <w:rPr>
          <w:rFonts w:ascii="Arial" w:hAnsi="Arial" w:cs="Arial"/>
          <w:b/>
        </w:rPr>
        <w:t xml:space="preserve"> yılı</w:t>
      </w:r>
      <w:r>
        <w:rPr>
          <w:rFonts w:ascii="Arial" w:hAnsi="Arial" w:cs="Arial"/>
          <w:b/>
        </w:rPr>
        <w:t>nın ilk dört ayında kapanan şirket</w:t>
      </w:r>
      <w:r w:rsidRPr="004B27A7">
        <w:rPr>
          <w:rFonts w:ascii="Arial" w:hAnsi="Arial" w:cs="Arial"/>
          <w:b/>
        </w:rPr>
        <w:t xml:space="preserve"> sayısı, 201</w:t>
      </w:r>
      <w:r>
        <w:rPr>
          <w:rFonts w:ascii="Arial" w:hAnsi="Arial" w:cs="Arial"/>
          <w:b/>
        </w:rPr>
        <w:t>8 yılının aynı dönemine göre %5,41 oranında azaldı</w:t>
      </w:r>
      <w:r w:rsidRPr="004B27A7">
        <w:rPr>
          <w:rFonts w:ascii="Arial" w:hAnsi="Arial" w:cs="Arial"/>
          <w:b/>
        </w:rPr>
        <w:t>.</w:t>
      </w:r>
    </w:p>
    <w:p w:rsidR="0083541E" w:rsidRPr="002308F5" w:rsidRDefault="0083541E" w:rsidP="0083541E">
      <w:pPr>
        <w:pStyle w:val="ListeParagraf"/>
        <w:numPr>
          <w:ilvl w:val="0"/>
          <w:numId w:val="1"/>
        </w:numPr>
        <w:jc w:val="both"/>
        <w:rPr>
          <w:rFonts w:ascii="Arial" w:hAnsi="Arial" w:cs="Arial"/>
          <w:sz w:val="20"/>
          <w:szCs w:val="20"/>
        </w:rPr>
      </w:pPr>
      <w:r>
        <w:rPr>
          <w:rFonts w:ascii="Arial" w:hAnsi="Arial" w:cs="Arial"/>
          <w:sz w:val="20"/>
          <w:szCs w:val="20"/>
        </w:rPr>
        <w:t xml:space="preserve">2019 yılının ilk dört ayında 2018 yılının aynı dönemine göre </w:t>
      </w:r>
      <w:r w:rsidRPr="002308F5">
        <w:rPr>
          <w:rFonts w:ascii="Arial" w:hAnsi="Arial" w:cs="Arial"/>
          <w:sz w:val="20"/>
          <w:szCs w:val="20"/>
        </w:rPr>
        <w:t>kapanan şirket sayı</w:t>
      </w:r>
      <w:r>
        <w:rPr>
          <w:rFonts w:ascii="Arial" w:hAnsi="Arial" w:cs="Arial"/>
          <w:sz w:val="20"/>
          <w:szCs w:val="20"/>
        </w:rPr>
        <w:t>sında %5,41</w:t>
      </w:r>
      <w:r w:rsidRPr="002308F5">
        <w:rPr>
          <w:rFonts w:ascii="Arial" w:hAnsi="Arial" w:cs="Arial"/>
          <w:sz w:val="20"/>
          <w:szCs w:val="20"/>
        </w:rPr>
        <w:t xml:space="preserve"> </w:t>
      </w:r>
      <w:r>
        <w:rPr>
          <w:rFonts w:ascii="Arial" w:hAnsi="Arial" w:cs="Arial"/>
          <w:sz w:val="20"/>
          <w:szCs w:val="20"/>
        </w:rPr>
        <w:t xml:space="preserve">kapanan kooperatif sayısında %14,44 oranında azalış olup, </w:t>
      </w:r>
      <w:r w:rsidRPr="002308F5">
        <w:rPr>
          <w:rFonts w:ascii="Arial" w:hAnsi="Arial" w:cs="Arial"/>
          <w:sz w:val="20"/>
          <w:szCs w:val="20"/>
        </w:rPr>
        <w:t xml:space="preserve">kapanan gerçek </w:t>
      </w:r>
      <w:r>
        <w:rPr>
          <w:rFonts w:ascii="Arial" w:hAnsi="Arial" w:cs="Arial"/>
          <w:sz w:val="20"/>
          <w:szCs w:val="20"/>
        </w:rPr>
        <w:t>kişi ticari işletme sayısında %13,15</w:t>
      </w:r>
      <w:r w:rsidRPr="002308F5">
        <w:rPr>
          <w:rFonts w:ascii="Arial" w:hAnsi="Arial" w:cs="Arial"/>
          <w:sz w:val="20"/>
          <w:szCs w:val="20"/>
        </w:rPr>
        <w:t xml:space="preserve"> oranında </w:t>
      </w:r>
      <w:r>
        <w:rPr>
          <w:rFonts w:ascii="Arial" w:hAnsi="Arial" w:cs="Arial"/>
          <w:sz w:val="20"/>
          <w:szCs w:val="20"/>
        </w:rPr>
        <w:t xml:space="preserve">artış </w:t>
      </w:r>
      <w:r w:rsidRPr="002308F5">
        <w:rPr>
          <w:rFonts w:ascii="Arial" w:hAnsi="Arial" w:cs="Arial"/>
          <w:sz w:val="20"/>
          <w:szCs w:val="20"/>
        </w:rPr>
        <w:t xml:space="preserve">gözlenmiştir. </w:t>
      </w:r>
    </w:p>
    <w:p w:rsidR="0083541E" w:rsidRDefault="0083541E" w:rsidP="0083541E">
      <w:pPr>
        <w:jc w:val="center"/>
        <w:rPr>
          <w:rFonts w:ascii="Arial" w:hAnsi="Arial" w:cs="Arial"/>
          <w:b/>
          <w:sz w:val="18"/>
          <w:szCs w:val="20"/>
        </w:rPr>
      </w:pPr>
      <w:r>
        <w:rPr>
          <w:rFonts w:ascii="Arial" w:hAnsi="Arial" w:cs="Arial"/>
          <w:b/>
          <w:sz w:val="18"/>
          <w:szCs w:val="20"/>
        </w:rPr>
        <w:t>2019</w:t>
      </w:r>
      <w:r w:rsidRPr="0010066A">
        <w:rPr>
          <w:rFonts w:ascii="Arial" w:hAnsi="Arial" w:cs="Arial"/>
          <w:b/>
          <w:sz w:val="18"/>
          <w:szCs w:val="20"/>
        </w:rPr>
        <w:t xml:space="preserve"> </w:t>
      </w:r>
      <w:r>
        <w:rPr>
          <w:rFonts w:ascii="Arial" w:hAnsi="Arial" w:cs="Arial"/>
          <w:b/>
          <w:sz w:val="18"/>
          <w:szCs w:val="20"/>
        </w:rPr>
        <w:t>Nisan</w:t>
      </w:r>
      <w:r w:rsidRPr="005059FF">
        <w:rPr>
          <w:rFonts w:ascii="Arial" w:hAnsi="Arial" w:cs="Arial"/>
          <w:b/>
          <w:sz w:val="18"/>
          <w:szCs w:val="20"/>
        </w:rPr>
        <w:t xml:space="preserve"> Ayı Genel Görünümü</w:t>
      </w:r>
    </w:p>
    <w:tbl>
      <w:tblPr>
        <w:tblW w:w="5714" w:type="pct"/>
        <w:tblInd w:w="-815" w:type="dxa"/>
        <w:tblLayout w:type="fixed"/>
        <w:tblLook w:val="04A0" w:firstRow="1" w:lastRow="0" w:firstColumn="1" w:lastColumn="0" w:noHBand="0" w:noVBand="1"/>
      </w:tblPr>
      <w:tblGrid>
        <w:gridCol w:w="1094"/>
        <w:gridCol w:w="1506"/>
        <w:gridCol w:w="955"/>
        <w:gridCol w:w="1229"/>
        <w:gridCol w:w="1093"/>
        <w:gridCol w:w="957"/>
        <w:gridCol w:w="1231"/>
        <w:gridCol w:w="819"/>
        <w:gridCol w:w="819"/>
        <w:gridCol w:w="911"/>
      </w:tblGrid>
      <w:tr w:rsidR="0083541E" w:rsidRPr="004B27A7" w:rsidTr="00954A74">
        <w:trPr>
          <w:trHeight w:val="701"/>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450" w:type="pct"/>
            <w:vMerge w:val="restart"/>
            <w:tcBorders>
              <w:top w:val="single" w:sz="8" w:space="0" w:color="auto"/>
              <w:left w:val="single" w:sz="8" w:space="0" w:color="auto"/>
              <w:bottom w:val="nil"/>
              <w:right w:val="single" w:sz="8" w:space="0" w:color="000000"/>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NİSAN 2019</w:t>
            </w:r>
          </w:p>
        </w:tc>
        <w:tc>
          <w:tcPr>
            <w:tcW w:w="579" w:type="pct"/>
            <w:vMerge w:val="restart"/>
            <w:tcBorders>
              <w:top w:val="single" w:sz="8" w:space="0" w:color="auto"/>
              <w:left w:val="single" w:sz="8" w:space="0" w:color="auto"/>
              <w:right w:val="single" w:sz="8" w:space="0" w:color="000000"/>
            </w:tcBorders>
            <w:shd w:val="clear" w:color="auto" w:fill="D9D9D9"/>
            <w:vAlign w:val="center"/>
          </w:tcPr>
          <w:p w:rsidR="0083541E"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MART</w:t>
            </w:r>
          </w:p>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2019</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83541E" w:rsidRPr="004B27A7" w:rsidRDefault="0083541E" w:rsidP="00954A74">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451" w:type="pct"/>
            <w:vMerge w:val="restart"/>
            <w:tcBorders>
              <w:top w:val="single" w:sz="8" w:space="0" w:color="auto"/>
              <w:left w:val="single" w:sz="8" w:space="0" w:color="auto"/>
              <w:right w:val="single" w:sz="8" w:space="0" w:color="000000"/>
            </w:tcBorders>
            <w:shd w:val="clear" w:color="auto" w:fill="D9D9D9"/>
            <w:vAlign w:val="center"/>
          </w:tcPr>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NİSAN 2018</w:t>
            </w:r>
          </w:p>
        </w:tc>
        <w:tc>
          <w:tcPr>
            <w:tcW w:w="580" w:type="pct"/>
            <w:vMerge w:val="restart"/>
            <w:tcBorders>
              <w:top w:val="single" w:sz="8" w:space="0" w:color="auto"/>
              <w:left w:val="single" w:sz="8" w:space="0" w:color="auto"/>
              <w:right w:val="single" w:sz="8" w:space="0" w:color="000000"/>
            </w:tcBorders>
            <w:shd w:val="clear" w:color="auto" w:fill="D9D9D9"/>
            <w:vAlign w:val="center"/>
          </w:tcPr>
          <w:p w:rsidR="0083541E" w:rsidRPr="004B27A7" w:rsidRDefault="0083541E" w:rsidP="00954A74">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OCAK- NİSAN</w:t>
            </w:r>
          </w:p>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(4</w:t>
            </w:r>
            <w:r w:rsidRPr="004B27A7">
              <w:rPr>
                <w:rFonts w:ascii="Arial TUR" w:eastAsia="Times New Roman" w:hAnsi="Arial TUR"/>
                <w:b/>
                <w:bCs/>
                <w:sz w:val="18"/>
                <w:szCs w:val="18"/>
              </w:rPr>
              <w:t xml:space="preserve"> Aylık)</w:t>
            </w:r>
          </w:p>
        </w:tc>
      </w:tr>
      <w:tr w:rsidR="0083541E" w:rsidRPr="004B27A7" w:rsidTr="00954A74">
        <w:trPr>
          <w:trHeight w:val="358"/>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450" w:type="pct"/>
            <w:vMerge/>
            <w:tcBorders>
              <w:left w:val="single" w:sz="8" w:space="0" w:color="auto"/>
              <w:bottom w:val="nil"/>
              <w:right w:val="single" w:sz="8" w:space="0" w:color="auto"/>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p>
        </w:tc>
        <w:tc>
          <w:tcPr>
            <w:tcW w:w="579" w:type="pct"/>
            <w:vMerge/>
            <w:tcBorders>
              <w:left w:val="single" w:sz="8" w:space="0" w:color="auto"/>
              <w:bottom w:val="nil"/>
              <w:right w:val="single" w:sz="8" w:space="0" w:color="auto"/>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p>
        </w:tc>
        <w:tc>
          <w:tcPr>
            <w:tcW w:w="515" w:type="pct"/>
            <w:vMerge/>
            <w:tcBorders>
              <w:left w:val="single" w:sz="8" w:space="0" w:color="auto"/>
              <w:bottom w:val="nil"/>
              <w:right w:val="single" w:sz="8" w:space="0" w:color="auto"/>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p>
        </w:tc>
        <w:tc>
          <w:tcPr>
            <w:tcW w:w="451" w:type="pct"/>
            <w:vMerge/>
            <w:tcBorders>
              <w:left w:val="single" w:sz="8" w:space="0" w:color="auto"/>
              <w:bottom w:val="single" w:sz="8" w:space="0" w:color="auto"/>
              <w:right w:val="single" w:sz="8" w:space="0" w:color="auto"/>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p>
        </w:tc>
        <w:tc>
          <w:tcPr>
            <w:tcW w:w="580" w:type="pct"/>
            <w:vMerge/>
            <w:tcBorders>
              <w:left w:val="single" w:sz="8" w:space="0" w:color="auto"/>
              <w:bottom w:val="single" w:sz="8" w:space="0" w:color="auto"/>
              <w:right w:val="single" w:sz="8" w:space="0" w:color="000000"/>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2018</w:t>
            </w:r>
          </w:p>
        </w:tc>
        <w:tc>
          <w:tcPr>
            <w:tcW w:w="386" w:type="pct"/>
            <w:tcBorders>
              <w:top w:val="nil"/>
              <w:left w:val="nil"/>
              <w:bottom w:val="single" w:sz="8" w:space="0" w:color="auto"/>
              <w:right w:val="single" w:sz="8" w:space="0" w:color="auto"/>
            </w:tcBorders>
            <w:shd w:val="clear" w:color="auto" w:fill="D9D9D9"/>
            <w:noWrap/>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2019</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83541E" w:rsidRPr="004B27A7" w:rsidRDefault="0083541E" w:rsidP="00954A74">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Değişim       (%)</w:t>
            </w:r>
          </w:p>
        </w:tc>
      </w:tr>
      <w:tr w:rsidR="0083541E" w:rsidRPr="004B27A7" w:rsidTr="00954A74">
        <w:trPr>
          <w:trHeight w:val="256"/>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single" w:sz="8" w:space="0" w:color="auto"/>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6.693</w:t>
            </w:r>
          </w:p>
        </w:tc>
        <w:tc>
          <w:tcPr>
            <w:tcW w:w="579" w:type="pct"/>
            <w:tcBorders>
              <w:top w:val="single" w:sz="8" w:space="0" w:color="auto"/>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7.057</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-5,16</w:t>
            </w:r>
          </w:p>
        </w:tc>
        <w:tc>
          <w:tcPr>
            <w:tcW w:w="451" w:type="pct"/>
            <w:tcBorders>
              <w:top w:val="single" w:sz="8" w:space="0" w:color="auto"/>
              <w:left w:val="single" w:sz="8"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8.456</w:t>
            </w:r>
          </w:p>
        </w:tc>
        <w:tc>
          <w:tcPr>
            <w:tcW w:w="58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-20,85</w:t>
            </w:r>
          </w:p>
        </w:tc>
        <w:tc>
          <w:tcPr>
            <w:tcW w:w="386"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32.554</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28.722</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-11,77</w:t>
            </w:r>
          </w:p>
        </w:tc>
      </w:tr>
      <w:tr w:rsidR="0083541E" w:rsidRPr="004B27A7" w:rsidTr="00954A74">
        <w:trPr>
          <w:trHeight w:val="256"/>
        </w:trPr>
        <w:tc>
          <w:tcPr>
            <w:tcW w:w="515" w:type="pct"/>
            <w:vMerge/>
            <w:tcBorders>
              <w:top w:val="nil"/>
              <w:left w:val="single" w:sz="8" w:space="0" w:color="auto"/>
              <w:bottom w:val="single" w:sz="8" w:space="0" w:color="000000"/>
              <w:right w:val="single" w:sz="8" w:space="0" w:color="auto"/>
            </w:tcBorders>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96</w:t>
            </w:r>
          </w:p>
        </w:tc>
        <w:tc>
          <w:tcPr>
            <w:tcW w:w="579"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94</w:t>
            </w:r>
          </w:p>
        </w:tc>
        <w:tc>
          <w:tcPr>
            <w:tcW w:w="515"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2,13</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107</w:t>
            </w:r>
          </w:p>
        </w:tc>
        <w:tc>
          <w:tcPr>
            <w:tcW w:w="58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-10,28</w:t>
            </w:r>
          </w:p>
        </w:tc>
        <w:tc>
          <w:tcPr>
            <w:tcW w:w="386"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387</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357</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-7,75</w:t>
            </w:r>
          </w:p>
        </w:tc>
      </w:tr>
      <w:tr w:rsidR="0083541E" w:rsidRPr="004B27A7" w:rsidTr="00954A74">
        <w:trPr>
          <w:trHeight w:val="218"/>
        </w:trPr>
        <w:tc>
          <w:tcPr>
            <w:tcW w:w="515" w:type="pct"/>
            <w:vMerge/>
            <w:tcBorders>
              <w:top w:val="nil"/>
              <w:left w:val="single" w:sz="8" w:space="0" w:color="auto"/>
              <w:bottom w:val="single" w:sz="8" w:space="0" w:color="000000"/>
              <w:right w:val="single" w:sz="8" w:space="0" w:color="auto"/>
            </w:tcBorders>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proofErr w:type="spellStart"/>
            <w:proofErr w:type="gramStart"/>
            <w:r w:rsidRPr="004B27A7">
              <w:rPr>
                <w:rFonts w:ascii="Arial TUR" w:eastAsia="Times New Roman" w:hAnsi="Arial TUR"/>
                <w:b/>
                <w:bCs/>
                <w:sz w:val="18"/>
                <w:szCs w:val="18"/>
              </w:rPr>
              <w:t>Ger.Kişi</w:t>
            </w:r>
            <w:proofErr w:type="spellEnd"/>
            <w:proofErr w:type="gramEnd"/>
            <w:r w:rsidRPr="004B27A7">
              <w:rPr>
                <w:rFonts w:ascii="Arial TUR" w:eastAsia="Times New Roman" w:hAnsi="Arial TUR"/>
                <w:b/>
                <w:bCs/>
                <w:sz w:val="18"/>
                <w:szCs w:val="18"/>
              </w:rPr>
              <w:t xml:space="preserve"> </w:t>
            </w:r>
            <w:proofErr w:type="spellStart"/>
            <w:r w:rsidRPr="004B27A7">
              <w:rPr>
                <w:rFonts w:ascii="Arial TUR" w:eastAsia="Times New Roman" w:hAnsi="Arial TUR"/>
                <w:b/>
                <w:bCs/>
                <w:sz w:val="18"/>
                <w:szCs w:val="18"/>
              </w:rPr>
              <w:t>Tic.İşl</w:t>
            </w:r>
            <w:proofErr w:type="spellEnd"/>
            <w:r w:rsidRPr="004B27A7">
              <w:rPr>
                <w:rFonts w:ascii="Arial TUR" w:eastAsia="Times New Roman" w:hAnsi="Arial TUR"/>
                <w:b/>
                <w:bCs/>
                <w:sz w:val="18"/>
                <w:szCs w:val="18"/>
              </w:rPr>
              <w:t>.</w:t>
            </w:r>
          </w:p>
        </w:tc>
        <w:tc>
          <w:tcPr>
            <w:tcW w:w="450"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1.828</w:t>
            </w:r>
          </w:p>
        </w:tc>
        <w:tc>
          <w:tcPr>
            <w:tcW w:w="579"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1.869</w:t>
            </w:r>
          </w:p>
        </w:tc>
        <w:tc>
          <w:tcPr>
            <w:tcW w:w="515"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-2,19</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3.895</w:t>
            </w:r>
          </w:p>
        </w:tc>
        <w:tc>
          <w:tcPr>
            <w:tcW w:w="580"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-53,07</w:t>
            </w:r>
          </w:p>
        </w:tc>
        <w:tc>
          <w:tcPr>
            <w:tcW w:w="386"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15.254</w:t>
            </w:r>
          </w:p>
        </w:tc>
        <w:tc>
          <w:tcPr>
            <w:tcW w:w="386"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8.564</w:t>
            </w:r>
          </w:p>
        </w:tc>
        <w:tc>
          <w:tcPr>
            <w:tcW w:w="429"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-43,86</w:t>
            </w:r>
          </w:p>
        </w:tc>
      </w:tr>
      <w:tr w:rsidR="0083541E" w:rsidRPr="004B27A7" w:rsidTr="00954A74">
        <w:trPr>
          <w:trHeight w:val="256"/>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1.080</w:t>
            </w:r>
          </w:p>
        </w:tc>
        <w:tc>
          <w:tcPr>
            <w:tcW w:w="579"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1.072</w:t>
            </w:r>
          </w:p>
        </w:tc>
        <w:tc>
          <w:tcPr>
            <w:tcW w:w="515"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0,75</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909</w:t>
            </w:r>
          </w:p>
        </w:tc>
        <w:tc>
          <w:tcPr>
            <w:tcW w:w="58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18,81</w:t>
            </w:r>
          </w:p>
        </w:tc>
        <w:tc>
          <w:tcPr>
            <w:tcW w:w="386"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4.278</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4.741</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10,82</w:t>
            </w:r>
          </w:p>
        </w:tc>
      </w:tr>
      <w:tr w:rsidR="0083541E" w:rsidRPr="004B27A7" w:rsidTr="00954A74">
        <w:trPr>
          <w:trHeight w:val="256"/>
        </w:trPr>
        <w:tc>
          <w:tcPr>
            <w:tcW w:w="515" w:type="pct"/>
            <w:vMerge/>
            <w:tcBorders>
              <w:top w:val="nil"/>
              <w:left w:val="single" w:sz="8" w:space="0" w:color="auto"/>
              <w:bottom w:val="nil"/>
              <w:right w:val="single" w:sz="8" w:space="0" w:color="auto"/>
            </w:tcBorders>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77</w:t>
            </w:r>
          </w:p>
        </w:tc>
        <w:tc>
          <w:tcPr>
            <w:tcW w:w="579"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62</w:t>
            </w:r>
          </w:p>
        </w:tc>
        <w:tc>
          <w:tcPr>
            <w:tcW w:w="515"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24,19</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60</w:t>
            </w:r>
          </w:p>
        </w:tc>
        <w:tc>
          <w:tcPr>
            <w:tcW w:w="580"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28,33</w:t>
            </w:r>
          </w:p>
        </w:tc>
        <w:tc>
          <w:tcPr>
            <w:tcW w:w="386"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202</w:t>
            </w:r>
          </w:p>
        </w:tc>
        <w:tc>
          <w:tcPr>
            <w:tcW w:w="386"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220</w:t>
            </w:r>
          </w:p>
        </w:tc>
        <w:tc>
          <w:tcPr>
            <w:tcW w:w="429"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8,91</w:t>
            </w:r>
          </w:p>
        </w:tc>
      </w:tr>
      <w:tr w:rsidR="0083541E" w:rsidRPr="004B27A7" w:rsidTr="00954A74">
        <w:trPr>
          <w:trHeight w:val="256"/>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726</w:t>
            </w:r>
          </w:p>
        </w:tc>
        <w:tc>
          <w:tcPr>
            <w:tcW w:w="579"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640</w:t>
            </w:r>
          </w:p>
        </w:tc>
        <w:tc>
          <w:tcPr>
            <w:tcW w:w="515"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13,44</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578</w:t>
            </w:r>
          </w:p>
        </w:tc>
        <w:tc>
          <w:tcPr>
            <w:tcW w:w="58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25,61</w:t>
            </w:r>
          </w:p>
        </w:tc>
        <w:tc>
          <w:tcPr>
            <w:tcW w:w="386"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4.142</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3.918</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-5,41</w:t>
            </w:r>
          </w:p>
        </w:tc>
      </w:tr>
      <w:tr w:rsidR="0083541E" w:rsidRPr="004B27A7" w:rsidTr="00954A74">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50</w:t>
            </w:r>
          </w:p>
        </w:tc>
        <w:tc>
          <w:tcPr>
            <w:tcW w:w="579"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53</w:t>
            </w:r>
          </w:p>
        </w:tc>
        <w:tc>
          <w:tcPr>
            <w:tcW w:w="515"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-5,66</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45</w:t>
            </w:r>
          </w:p>
        </w:tc>
        <w:tc>
          <w:tcPr>
            <w:tcW w:w="580"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11,11</w:t>
            </w:r>
          </w:p>
        </w:tc>
        <w:tc>
          <w:tcPr>
            <w:tcW w:w="386" w:type="pct"/>
            <w:tcBorders>
              <w:top w:val="nil"/>
              <w:left w:val="nil"/>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360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308</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-14,44</w:t>
            </w:r>
          </w:p>
        </w:tc>
      </w:tr>
      <w:tr w:rsidR="0083541E" w:rsidRPr="004B27A7" w:rsidTr="00954A74">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83541E" w:rsidRPr="004B27A7" w:rsidRDefault="0083541E" w:rsidP="00954A74">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83541E" w:rsidRPr="004B27A7" w:rsidRDefault="0083541E" w:rsidP="00954A74">
            <w:pPr>
              <w:spacing w:after="0" w:line="240" w:lineRule="auto"/>
              <w:rPr>
                <w:rFonts w:ascii="Arial TUR" w:eastAsia="Times New Roman" w:hAnsi="Arial TUR"/>
                <w:b/>
                <w:bCs/>
                <w:sz w:val="18"/>
                <w:szCs w:val="18"/>
              </w:rPr>
            </w:pPr>
            <w:proofErr w:type="spellStart"/>
            <w:proofErr w:type="gramStart"/>
            <w:r w:rsidRPr="004B27A7">
              <w:rPr>
                <w:rFonts w:ascii="Arial TUR" w:eastAsia="Times New Roman" w:hAnsi="Arial TUR"/>
                <w:b/>
                <w:bCs/>
                <w:sz w:val="18"/>
                <w:szCs w:val="18"/>
              </w:rPr>
              <w:t>Ger.Kişi</w:t>
            </w:r>
            <w:proofErr w:type="spellEnd"/>
            <w:proofErr w:type="gramEnd"/>
            <w:r w:rsidRPr="004B27A7">
              <w:rPr>
                <w:rFonts w:ascii="Arial TUR" w:eastAsia="Times New Roman" w:hAnsi="Arial TUR"/>
                <w:b/>
                <w:bCs/>
                <w:sz w:val="18"/>
                <w:szCs w:val="18"/>
              </w:rPr>
              <w:t xml:space="preserve"> </w:t>
            </w:r>
            <w:proofErr w:type="spellStart"/>
            <w:r w:rsidRPr="004B27A7">
              <w:rPr>
                <w:rFonts w:ascii="Arial TUR" w:eastAsia="Times New Roman" w:hAnsi="Arial TUR"/>
                <w:b/>
                <w:bCs/>
                <w:sz w:val="18"/>
                <w:szCs w:val="18"/>
              </w:rPr>
              <w:t>Tic.İşl</w:t>
            </w:r>
            <w:proofErr w:type="spellEnd"/>
            <w:r w:rsidRPr="004B27A7">
              <w:rPr>
                <w:rFonts w:ascii="Arial TUR" w:eastAsia="Times New Roman" w:hAnsi="Arial TUR"/>
                <w:b/>
                <w:bCs/>
                <w:sz w:val="18"/>
                <w:szCs w:val="18"/>
              </w:rPr>
              <w:t>.</w:t>
            </w:r>
          </w:p>
        </w:tc>
        <w:tc>
          <w:tcPr>
            <w:tcW w:w="450"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1.265</w:t>
            </w:r>
          </w:p>
        </w:tc>
        <w:tc>
          <w:tcPr>
            <w:tcW w:w="579"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1.634</w:t>
            </w:r>
          </w:p>
        </w:tc>
        <w:tc>
          <w:tcPr>
            <w:tcW w:w="515"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-22,58</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1.120</w:t>
            </w:r>
          </w:p>
        </w:tc>
        <w:tc>
          <w:tcPr>
            <w:tcW w:w="580"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12,95</w:t>
            </w:r>
          </w:p>
        </w:tc>
        <w:tc>
          <w:tcPr>
            <w:tcW w:w="386"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7.163</w:t>
            </w:r>
          </w:p>
        </w:tc>
        <w:tc>
          <w:tcPr>
            <w:tcW w:w="386"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8.105</w:t>
            </w:r>
          </w:p>
        </w:tc>
        <w:tc>
          <w:tcPr>
            <w:tcW w:w="429" w:type="pct"/>
            <w:tcBorders>
              <w:top w:val="nil"/>
              <w:left w:val="nil"/>
              <w:bottom w:val="single" w:sz="8" w:space="0" w:color="auto"/>
              <w:right w:val="single" w:sz="8" w:space="0" w:color="auto"/>
            </w:tcBorders>
            <w:shd w:val="clear" w:color="auto" w:fill="auto"/>
            <w:noWrap/>
            <w:vAlign w:val="center"/>
          </w:tcPr>
          <w:p w:rsidR="0083541E" w:rsidRPr="00083E3C" w:rsidRDefault="0083541E" w:rsidP="00954A74">
            <w:pPr>
              <w:spacing w:after="0" w:line="240" w:lineRule="auto"/>
              <w:jc w:val="right"/>
              <w:rPr>
                <w:rFonts w:ascii="Arial" w:hAnsi="Arial" w:cs="Arial"/>
                <w:color w:val="000000"/>
                <w:sz w:val="18"/>
                <w:szCs w:val="18"/>
              </w:rPr>
            </w:pPr>
            <w:r w:rsidRPr="00083E3C">
              <w:rPr>
                <w:rFonts w:ascii="Arial" w:hAnsi="Arial" w:cs="Arial"/>
                <w:color w:val="000000"/>
                <w:sz w:val="18"/>
                <w:szCs w:val="18"/>
              </w:rPr>
              <w:t>13,15</w:t>
            </w:r>
          </w:p>
        </w:tc>
      </w:tr>
    </w:tbl>
    <w:p w:rsidR="0083541E" w:rsidRDefault="0083541E" w:rsidP="0083541E">
      <w:pPr>
        <w:rPr>
          <w:rFonts w:ascii="Arial" w:hAnsi="Arial" w:cs="Arial"/>
          <w:sz w:val="14"/>
          <w:szCs w:val="20"/>
        </w:rPr>
      </w:pPr>
      <w:r w:rsidRPr="00DF7EAE">
        <w:rPr>
          <w:rFonts w:ascii="Arial" w:hAnsi="Arial" w:cs="Arial"/>
          <w:sz w:val="14"/>
          <w:szCs w:val="20"/>
        </w:rPr>
        <w:t>* Kurulan gerçek kişi ticari işletmesi sayısı adi ortaklıkları da içermektedir.</w:t>
      </w:r>
    </w:p>
    <w:p w:rsidR="0083541E" w:rsidRPr="00FC1981" w:rsidRDefault="0083541E" w:rsidP="0083541E">
      <w:pPr>
        <w:rPr>
          <w:rFonts w:ascii="Arial" w:hAnsi="Arial" w:cs="Arial"/>
          <w:sz w:val="14"/>
          <w:szCs w:val="20"/>
        </w:rPr>
      </w:pPr>
      <w:r w:rsidRPr="00FC1981">
        <w:rPr>
          <w:rFonts w:ascii="Arial" w:hAnsi="Arial" w:cs="Arial"/>
          <w:sz w:val="14"/>
          <w:szCs w:val="20"/>
        </w:rPr>
        <w:t xml:space="preserve">* * Kapanan gerçek kişi ticari işletmesi sayısı, yapılan tebligatlarla ticari faaliyeti bulunmadığı tespit edilen gerçek kişi ticari işletmesinin kayıtlarının ilgili Ticaret Sicil Müdürlükleri tarafından Ticaret Sicil Yönetmeliğinin 51. maddesine istinaden </w:t>
      </w:r>
      <w:proofErr w:type="spellStart"/>
      <w:r w:rsidRPr="00FC1981">
        <w:rPr>
          <w:rFonts w:ascii="Arial" w:hAnsi="Arial" w:cs="Arial"/>
          <w:sz w:val="14"/>
          <w:szCs w:val="20"/>
        </w:rPr>
        <w:t>re’sen</w:t>
      </w:r>
      <w:proofErr w:type="spellEnd"/>
      <w:r w:rsidRPr="00FC1981">
        <w:rPr>
          <w:rFonts w:ascii="Arial" w:hAnsi="Arial" w:cs="Arial"/>
          <w:sz w:val="14"/>
          <w:szCs w:val="20"/>
        </w:rPr>
        <w:t xml:space="preserve"> silinen işletmelerini  kapsamamaktadır. 2019 yılı Nisan ayında 7.192,  Ocak-Nisan döneminde 10.738 gerçek kişi ticari işletmesi </w:t>
      </w:r>
      <w:proofErr w:type="spellStart"/>
      <w:r w:rsidRPr="00FC1981">
        <w:rPr>
          <w:rFonts w:ascii="Arial" w:hAnsi="Arial" w:cs="Arial"/>
          <w:sz w:val="14"/>
          <w:szCs w:val="20"/>
        </w:rPr>
        <w:t>re’sen</w:t>
      </w:r>
      <w:proofErr w:type="spellEnd"/>
      <w:r w:rsidRPr="00FC1981">
        <w:rPr>
          <w:rFonts w:ascii="Arial" w:hAnsi="Arial" w:cs="Arial"/>
          <w:sz w:val="14"/>
          <w:szCs w:val="20"/>
        </w:rPr>
        <w:t xml:space="preserve"> kapatılmıştır.</w:t>
      </w:r>
    </w:p>
    <w:p w:rsidR="0083541E" w:rsidRPr="004B27A7" w:rsidRDefault="0083541E" w:rsidP="0083541E">
      <w:pPr>
        <w:jc w:val="both"/>
        <w:rPr>
          <w:rFonts w:ascii="Arial" w:hAnsi="Arial" w:cs="Arial"/>
          <w:b/>
        </w:rPr>
      </w:pPr>
      <w:r w:rsidRPr="004B27A7">
        <w:rPr>
          <w:rFonts w:ascii="Arial" w:hAnsi="Arial" w:cs="Arial"/>
          <w:b/>
        </w:rPr>
        <w:t>201</w:t>
      </w:r>
      <w:r>
        <w:rPr>
          <w:rFonts w:ascii="Arial" w:hAnsi="Arial" w:cs="Arial"/>
          <w:b/>
        </w:rPr>
        <w:t>9 yılı Nisan</w:t>
      </w:r>
      <w:r w:rsidRPr="004B27A7">
        <w:rPr>
          <w:rFonts w:ascii="Arial" w:hAnsi="Arial" w:cs="Arial"/>
          <w:b/>
        </w:rPr>
        <w:t xml:space="preserve"> ayında </w:t>
      </w:r>
      <w:r>
        <w:rPr>
          <w:rFonts w:ascii="Arial" w:hAnsi="Arial" w:cs="Arial"/>
          <w:b/>
        </w:rPr>
        <w:t xml:space="preserve">Bayburt’ta şirket ve kooperatif </w:t>
      </w:r>
      <w:r w:rsidRPr="004B27A7">
        <w:rPr>
          <w:rFonts w:ascii="Arial" w:hAnsi="Arial" w:cs="Arial"/>
          <w:b/>
        </w:rPr>
        <w:t>kuruluşu gerçekleş</w:t>
      </w:r>
      <w:r>
        <w:rPr>
          <w:rFonts w:ascii="Arial" w:hAnsi="Arial" w:cs="Arial"/>
          <w:b/>
        </w:rPr>
        <w:t>memiştir.</w:t>
      </w:r>
      <w:r w:rsidRPr="004B27A7">
        <w:rPr>
          <w:rFonts w:ascii="Arial" w:hAnsi="Arial" w:cs="Arial"/>
          <w:b/>
        </w:rPr>
        <w:t xml:space="preserve"> </w:t>
      </w:r>
    </w:p>
    <w:p w:rsidR="0083541E" w:rsidRPr="004B27A7" w:rsidRDefault="0083541E" w:rsidP="0083541E">
      <w:pPr>
        <w:pStyle w:val="ListeParagraf"/>
        <w:numPr>
          <w:ilvl w:val="0"/>
          <w:numId w:val="2"/>
        </w:numPr>
        <w:jc w:val="both"/>
        <w:rPr>
          <w:rFonts w:ascii="Arial" w:hAnsi="Arial" w:cs="Arial"/>
          <w:sz w:val="20"/>
          <w:szCs w:val="20"/>
        </w:rPr>
      </w:pPr>
      <w:r w:rsidRPr="004B27A7">
        <w:rPr>
          <w:rFonts w:ascii="Arial" w:hAnsi="Arial" w:cs="Arial"/>
          <w:sz w:val="20"/>
          <w:szCs w:val="20"/>
        </w:rPr>
        <w:t>201</w:t>
      </w:r>
      <w:r>
        <w:rPr>
          <w:rFonts w:ascii="Arial" w:hAnsi="Arial" w:cs="Arial"/>
          <w:sz w:val="20"/>
          <w:szCs w:val="20"/>
        </w:rPr>
        <w:t>9</w:t>
      </w:r>
      <w:r w:rsidRPr="004B27A7">
        <w:rPr>
          <w:rFonts w:ascii="Arial" w:hAnsi="Arial" w:cs="Arial"/>
          <w:sz w:val="20"/>
          <w:szCs w:val="20"/>
        </w:rPr>
        <w:t xml:space="preserve"> yılı </w:t>
      </w:r>
      <w:r>
        <w:rPr>
          <w:rFonts w:ascii="Arial" w:hAnsi="Arial" w:cs="Arial"/>
          <w:sz w:val="20"/>
          <w:szCs w:val="20"/>
        </w:rPr>
        <w:t>Nisan</w:t>
      </w:r>
      <w:r w:rsidRPr="004B27A7">
        <w:rPr>
          <w:rFonts w:ascii="Arial" w:hAnsi="Arial" w:cs="Arial"/>
          <w:sz w:val="20"/>
          <w:szCs w:val="20"/>
        </w:rPr>
        <w:t xml:space="preserve"> ayında kurulan toplam </w:t>
      </w:r>
      <w:r>
        <w:rPr>
          <w:rFonts w:ascii="Arial" w:hAnsi="Arial" w:cs="Arial"/>
          <w:sz w:val="20"/>
          <w:szCs w:val="20"/>
        </w:rPr>
        <w:t>6.789 şirket ve kooperatifin %85,05</w:t>
      </w:r>
      <w:r w:rsidRPr="004B27A7">
        <w:rPr>
          <w:rFonts w:ascii="Arial" w:hAnsi="Arial" w:cs="Arial"/>
          <w:sz w:val="20"/>
          <w:szCs w:val="20"/>
        </w:rPr>
        <w:t>’</w:t>
      </w:r>
      <w:r>
        <w:rPr>
          <w:rFonts w:ascii="Arial" w:hAnsi="Arial" w:cs="Arial"/>
          <w:sz w:val="20"/>
          <w:szCs w:val="20"/>
        </w:rPr>
        <w:t xml:space="preserve">i </w:t>
      </w:r>
      <w:proofErr w:type="spellStart"/>
      <w:r>
        <w:rPr>
          <w:rFonts w:ascii="Arial" w:hAnsi="Arial" w:cs="Arial"/>
          <w:sz w:val="20"/>
          <w:szCs w:val="20"/>
        </w:rPr>
        <w:t>limited</w:t>
      </w:r>
      <w:proofErr w:type="spellEnd"/>
      <w:r>
        <w:rPr>
          <w:rFonts w:ascii="Arial" w:hAnsi="Arial" w:cs="Arial"/>
          <w:sz w:val="20"/>
          <w:szCs w:val="20"/>
        </w:rPr>
        <w:t xml:space="preserve"> şirket, %13,51’i anonim şirket, %1,41’i</w:t>
      </w:r>
      <w:r w:rsidRPr="004B27A7">
        <w:rPr>
          <w:rFonts w:ascii="Arial" w:hAnsi="Arial" w:cs="Arial"/>
          <w:sz w:val="20"/>
          <w:szCs w:val="20"/>
        </w:rPr>
        <w:t xml:space="preserve"> ise kooperatiftir. Şirket ve kooperatiflerin %</w:t>
      </w:r>
      <w:r>
        <w:rPr>
          <w:rFonts w:ascii="Arial" w:hAnsi="Arial" w:cs="Arial"/>
          <w:sz w:val="20"/>
          <w:szCs w:val="20"/>
        </w:rPr>
        <w:t>41,95’i</w:t>
      </w:r>
      <w:r w:rsidRPr="004B27A7">
        <w:rPr>
          <w:rFonts w:ascii="Arial" w:hAnsi="Arial" w:cs="Arial"/>
          <w:sz w:val="20"/>
          <w:szCs w:val="20"/>
        </w:rPr>
        <w:t xml:space="preserve"> İstanbul, </w:t>
      </w:r>
    </w:p>
    <w:p w:rsidR="0083541E" w:rsidRPr="004B27A7" w:rsidRDefault="0083541E" w:rsidP="0083541E">
      <w:pPr>
        <w:pStyle w:val="ListeParagraf"/>
        <w:jc w:val="both"/>
        <w:rPr>
          <w:rFonts w:ascii="Arial" w:hAnsi="Arial" w:cs="Arial"/>
          <w:sz w:val="20"/>
          <w:szCs w:val="20"/>
        </w:rPr>
      </w:pPr>
      <w:r>
        <w:rPr>
          <w:rFonts w:ascii="Arial" w:hAnsi="Arial" w:cs="Arial"/>
          <w:sz w:val="20"/>
          <w:szCs w:val="20"/>
        </w:rPr>
        <w:t>%10,40’ı Ankara, %6,58’i</w:t>
      </w:r>
      <w:r w:rsidRPr="004B27A7">
        <w:rPr>
          <w:rFonts w:ascii="Arial" w:hAnsi="Arial" w:cs="Arial"/>
          <w:sz w:val="20"/>
          <w:szCs w:val="20"/>
        </w:rPr>
        <w:t xml:space="preserve"> İzmir’de kurulmuştur. </w:t>
      </w:r>
    </w:p>
    <w:p w:rsidR="0083541E" w:rsidRPr="002301A9" w:rsidRDefault="0083541E" w:rsidP="0083541E">
      <w:pPr>
        <w:pStyle w:val="ListeParagraf"/>
        <w:numPr>
          <w:ilvl w:val="0"/>
          <w:numId w:val="2"/>
        </w:numPr>
        <w:jc w:val="both"/>
        <w:rPr>
          <w:rFonts w:ascii="Arial" w:hAnsi="Arial" w:cs="Arial"/>
          <w:sz w:val="20"/>
          <w:szCs w:val="20"/>
        </w:rPr>
      </w:pPr>
      <w:r w:rsidRPr="001D02BD">
        <w:rPr>
          <w:rFonts w:ascii="Arial" w:hAnsi="Arial" w:cs="Arial"/>
          <w:sz w:val="20"/>
          <w:szCs w:val="20"/>
        </w:rPr>
        <w:t xml:space="preserve">Bu ay </w:t>
      </w:r>
      <w:r w:rsidRPr="002301A9">
        <w:rPr>
          <w:rFonts w:ascii="Arial" w:hAnsi="Arial" w:cs="Arial"/>
          <w:sz w:val="20"/>
          <w:szCs w:val="20"/>
        </w:rPr>
        <w:t>Bayburt’ta şirket ve kooperatif kuruluşu gerçekleşmemiştir.</w:t>
      </w:r>
    </w:p>
    <w:p w:rsidR="0083541E" w:rsidRPr="001D02BD" w:rsidRDefault="0083541E" w:rsidP="0083541E">
      <w:pPr>
        <w:pStyle w:val="ListeParagraf"/>
        <w:jc w:val="both"/>
        <w:rPr>
          <w:rFonts w:ascii="Arial" w:hAnsi="Arial" w:cs="Arial"/>
          <w:b/>
          <w:sz w:val="20"/>
          <w:szCs w:val="20"/>
        </w:rPr>
      </w:pPr>
    </w:p>
    <w:p w:rsidR="0083541E" w:rsidRDefault="0083541E" w:rsidP="0083541E">
      <w:pPr>
        <w:pStyle w:val="ListeParagraf"/>
        <w:ind w:left="360"/>
        <w:jc w:val="both"/>
        <w:rPr>
          <w:rFonts w:ascii="Arial" w:hAnsi="Arial" w:cs="Arial"/>
          <w:sz w:val="20"/>
          <w:szCs w:val="20"/>
        </w:rPr>
      </w:pPr>
      <w:r>
        <w:rPr>
          <w:rFonts w:ascii="Arial" w:hAnsi="Arial" w:cs="Arial"/>
          <w:b/>
        </w:rPr>
        <w:lastRenderedPageBreak/>
        <w:t>2019</w:t>
      </w:r>
      <w:r w:rsidRPr="001D02BD">
        <w:rPr>
          <w:rFonts w:ascii="Arial" w:hAnsi="Arial" w:cs="Arial"/>
          <w:b/>
        </w:rPr>
        <w:t xml:space="preserve"> </w:t>
      </w:r>
      <w:r>
        <w:rPr>
          <w:rFonts w:ascii="Arial" w:hAnsi="Arial" w:cs="Arial"/>
          <w:b/>
        </w:rPr>
        <w:t>Nisan</w:t>
      </w:r>
      <w:r w:rsidRPr="001D02BD">
        <w:rPr>
          <w:rFonts w:ascii="Arial" w:hAnsi="Arial" w:cs="Arial"/>
          <w:b/>
        </w:rPr>
        <w:t xml:space="preserve"> ayında kurulan şirketlerin sermayelerinin toplamı, bir</w:t>
      </w:r>
      <w:r>
        <w:rPr>
          <w:rFonts w:ascii="Arial" w:hAnsi="Arial" w:cs="Arial"/>
          <w:b/>
        </w:rPr>
        <w:t xml:space="preserve"> önceki aya göre             %11,92</w:t>
      </w:r>
      <w:r w:rsidRPr="001D02BD">
        <w:rPr>
          <w:rFonts w:ascii="Arial" w:hAnsi="Arial" w:cs="Arial"/>
          <w:b/>
        </w:rPr>
        <w:t xml:space="preserve"> oranında </w:t>
      </w:r>
      <w:r>
        <w:rPr>
          <w:rFonts w:ascii="Arial" w:hAnsi="Arial" w:cs="Arial"/>
          <w:b/>
        </w:rPr>
        <w:t>azaldı</w:t>
      </w:r>
      <w:r w:rsidRPr="001D02BD">
        <w:rPr>
          <w:rFonts w:ascii="Arial" w:hAnsi="Arial" w:cs="Arial"/>
          <w:b/>
        </w:rPr>
        <w:t>.</w:t>
      </w:r>
      <w:r w:rsidRPr="001D02BD">
        <w:rPr>
          <w:rFonts w:ascii="Arial" w:hAnsi="Arial" w:cs="Arial"/>
          <w:sz w:val="20"/>
          <w:szCs w:val="20"/>
        </w:rPr>
        <w:t xml:space="preserve"> </w:t>
      </w:r>
    </w:p>
    <w:p w:rsidR="0083541E" w:rsidRPr="001D02BD" w:rsidRDefault="0083541E" w:rsidP="0083541E">
      <w:pPr>
        <w:pStyle w:val="ListeParagraf"/>
        <w:ind w:left="360"/>
        <w:jc w:val="both"/>
        <w:rPr>
          <w:rFonts w:ascii="Arial" w:hAnsi="Arial" w:cs="Arial"/>
          <w:b/>
          <w:sz w:val="20"/>
          <w:szCs w:val="20"/>
        </w:rPr>
      </w:pPr>
    </w:p>
    <w:p w:rsidR="0083541E" w:rsidRPr="006D383B" w:rsidRDefault="0083541E" w:rsidP="0083541E">
      <w:pPr>
        <w:pStyle w:val="ListeParagraf"/>
        <w:numPr>
          <w:ilvl w:val="0"/>
          <w:numId w:val="2"/>
        </w:numPr>
        <w:jc w:val="both"/>
        <w:rPr>
          <w:rFonts w:ascii="Arial" w:hAnsi="Arial" w:cs="Arial"/>
          <w:b/>
          <w:color w:val="000000"/>
          <w:sz w:val="20"/>
          <w:szCs w:val="20"/>
        </w:rPr>
      </w:pPr>
      <w:r>
        <w:rPr>
          <w:rFonts w:ascii="Arial" w:hAnsi="Arial" w:cs="Arial"/>
          <w:color w:val="000000"/>
          <w:sz w:val="20"/>
          <w:szCs w:val="20"/>
        </w:rPr>
        <w:t>2019</w:t>
      </w:r>
      <w:r w:rsidRPr="006D383B">
        <w:rPr>
          <w:rFonts w:ascii="Arial" w:hAnsi="Arial" w:cs="Arial"/>
          <w:color w:val="000000"/>
          <w:sz w:val="20"/>
          <w:szCs w:val="20"/>
        </w:rPr>
        <w:t xml:space="preserve"> yılı</w:t>
      </w:r>
      <w:r>
        <w:rPr>
          <w:rFonts w:ascii="Arial" w:hAnsi="Arial" w:cs="Arial"/>
          <w:color w:val="000000"/>
          <w:sz w:val="20"/>
          <w:szCs w:val="20"/>
        </w:rPr>
        <w:t>nda toplam</w:t>
      </w:r>
      <w:r w:rsidRPr="006D383B">
        <w:rPr>
          <w:rFonts w:ascii="Arial" w:hAnsi="Arial" w:cs="Arial"/>
          <w:color w:val="000000"/>
          <w:sz w:val="20"/>
          <w:szCs w:val="20"/>
        </w:rPr>
        <w:t xml:space="preserve"> </w:t>
      </w:r>
      <w:r>
        <w:rPr>
          <w:rFonts w:ascii="Arial" w:hAnsi="Arial" w:cs="Arial"/>
          <w:color w:val="000000"/>
          <w:sz w:val="20"/>
          <w:szCs w:val="20"/>
        </w:rPr>
        <w:t>29</w:t>
      </w:r>
      <w:r w:rsidRPr="006D383B">
        <w:rPr>
          <w:rFonts w:ascii="Arial" w:hAnsi="Arial" w:cs="Arial"/>
          <w:color w:val="000000"/>
          <w:sz w:val="20"/>
          <w:szCs w:val="20"/>
        </w:rPr>
        <w:t>.</w:t>
      </w:r>
      <w:r>
        <w:rPr>
          <w:rFonts w:ascii="Arial" w:hAnsi="Arial" w:cs="Arial"/>
          <w:color w:val="000000"/>
          <w:sz w:val="20"/>
          <w:szCs w:val="20"/>
        </w:rPr>
        <w:t>079</w:t>
      </w:r>
      <w:r w:rsidRPr="006D383B">
        <w:rPr>
          <w:rFonts w:ascii="Arial" w:hAnsi="Arial" w:cs="Arial"/>
          <w:color w:val="000000"/>
          <w:sz w:val="20"/>
          <w:szCs w:val="20"/>
        </w:rPr>
        <w:t xml:space="preserve"> şirket ve kooperatif kurulmuştur. Bu dönemde kurulan toplam </w:t>
      </w:r>
      <w:r>
        <w:rPr>
          <w:rFonts w:ascii="Arial" w:hAnsi="Arial" w:cs="Arial"/>
          <w:color w:val="000000"/>
          <w:sz w:val="20"/>
          <w:szCs w:val="20"/>
        </w:rPr>
        <w:t>24</w:t>
      </w:r>
      <w:r w:rsidRPr="006D383B">
        <w:rPr>
          <w:rFonts w:ascii="Arial" w:hAnsi="Arial" w:cs="Arial"/>
          <w:color w:val="000000"/>
          <w:sz w:val="20"/>
          <w:szCs w:val="20"/>
        </w:rPr>
        <w:t>.</w:t>
      </w:r>
      <w:r>
        <w:rPr>
          <w:rFonts w:ascii="Arial" w:hAnsi="Arial" w:cs="Arial"/>
          <w:color w:val="000000"/>
          <w:sz w:val="20"/>
          <w:szCs w:val="20"/>
        </w:rPr>
        <w:t>907</w:t>
      </w:r>
      <w:r w:rsidRPr="006D383B">
        <w:rPr>
          <w:rFonts w:ascii="Arial" w:hAnsi="Arial" w:cs="Arial"/>
          <w:color w:val="000000"/>
          <w:sz w:val="20"/>
          <w:szCs w:val="20"/>
        </w:rPr>
        <w:t xml:space="preserve"> </w:t>
      </w:r>
      <w:proofErr w:type="spellStart"/>
      <w:r w:rsidRPr="006D383B">
        <w:rPr>
          <w:rFonts w:ascii="Arial" w:hAnsi="Arial" w:cs="Arial"/>
          <w:color w:val="000000"/>
          <w:sz w:val="20"/>
          <w:szCs w:val="20"/>
        </w:rPr>
        <w:t>limite</w:t>
      </w:r>
      <w:r>
        <w:rPr>
          <w:rFonts w:ascii="Arial" w:hAnsi="Arial" w:cs="Arial"/>
          <w:color w:val="000000"/>
          <w:sz w:val="20"/>
          <w:szCs w:val="20"/>
        </w:rPr>
        <w:t>d</w:t>
      </w:r>
      <w:proofErr w:type="spellEnd"/>
      <w:r>
        <w:rPr>
          <w:rFonts w:ascii="Arial" w:hAnsi="Arial" w:cs="Arial"/>
          <w:color w:val="000000"/>
          <w:sz w:val="20"/>
          <w:szCs w:val="20"/>
        </w:rPr>
        <w:t xml:space="preserve"> şirket, toplam sermayenin %71</w:t>
      </w:r>
      <w:r w:rsidRPr="006D383B">
        <w:rPr>
          <w:rFonts w:ascii="Arial" w:hAnsi="Arial" w:cs="Arial"/>
          <w:color w:val="000000"/>
          <w:sz w:val="20"/>
          <w:szCs w:val="20"/>
        </w:rPr>
        <w:t>,</w:t>
      </w:r>
      <w:r>
        <w:rPr>
          <w:rFonts w:ascii="Arial" w:hAnsi="Arial" w:cs="Arial"/>
          <w:color w:val="000000"/>
          <w:sz w:val="20"/>
          <w:szCs w:val="20"/>
        </w:rPr>
        <w:t>30</w:t>
      </w:r>
      <w:r w:rsidRPr="006D383B">
        <w:rPr>
          <w:rFonts w:ascii="Arial" w:hAnsi="Arial" w:cs="Arial"/>
          <w:color w:val="000000"/>
          <w:sz w:val="20"/>
          <w:szCs w:val="20"/>
        </w:rPr>
        <w:t>’</w:t>
      </w:r>
      <w:r>
        <w:rPr>
          <w:rFonts w:ascii="Arial" w:hAnsi="Arial" w:cs="Arial"/>
          <w:color w:val="000000"/>
          <w:sz w:val="20"/>
          <w:szCs w:val="20"/>
        </w:rPr>
        <w:t>unu</w:t>
      </w:r>
      <w:r w:rsidRPr="006D383B">
        <w:rPr>
          <w:rFonts w:ascii="Arial" w:hAnsi="Arial" w:cs="Arial"/>
          <w:color w:val="000000"/>
          <w:sz w:val="20"/>
          <w:szCs w:val="20"/>
        </w:rPr>
        <w:t xml:space="preserve">, </w:t>
      </w:r>
      <w:r>
        <w:rPr>
          <w:rFonts w:ascii="Arial" w:hAnsi="Arial" w:cs="Arial"/>
          <w:color w:val="000000"/>
          <w:sz w:val="20"/>
          <w:szCs w:val="20"/>
        </w:rPr>
        <w:t>3.807</w:t>
      </w:r>
      <w:r w:rsidRPr="006D383B">
        <w:rPr>
          <w:rFonts w:ascii="Arial" w:hAnsi="Arial" w:cs="Arial"/>
          <w:color w:val="000000"/>
          <w:sz w:val="20"/>
          <w:szCs w:val="20"/>
        </w:rPr>
        <w:t xml:space="preserve"> anonim şirket ise %</w:t>
      </w:r>
      <w:r>
        <w:rPr>
          <w:rFonts w:ascii="Arial" w:hAnsi="Arial" w:cs="Arial"/>
          <w:color w:val="000000"/>
          <w:sz w:val="20"/>
          <w:szCs w:val="20"/>
        </w:rPr>
        <w:t>28</w:t>
      </w:r>
      <w:r w:rsidRPr="006D383B">
        <w:rPr>
          <w:rFonts w:ascii="Arial" w:hAnsi="Arial" w:cs="Arial"/>
          <w:color w:val="000000"/>
          <w:sz w:val="20"/>
          <w:szCs w:val="20"/>
        </w:rPr>
        <w:t>,</w:t>
      </w:r>
      <w:r>
        <w:rPr>
          <w:rFonts w:ascii="Arial" w:hAnsi="Arial" w:cs="Arial"/>
          <w:color w:val="000000"/>
          <w:sz w:val="20"/>
          <w:szCs w:val="20"/>
        </w:rPr>
        <w:t>68</w:t>
      </w:r>
      <w:r w:rsidRPr="006D383B">
        <w:rPr>
          <w:rFonts w:ascii="Arial" w:hAnsi="Arial" w:cs="Arial"/>
          <w:color w:val="000000"/>
          <w:sz w:val="20"/>
          <w:szCs w:val="20"/>
        </w:rPr>
        <w:t>’</w:t>
      </w:r>
      <w:r>
        <w:rPr>
          <w:rFonts w:ascii="Arial" w:hAnsi="Arial" w:cs="Arial"/>
          <w:color w:val="000000"/>
          <w:sz w:val="20"/>
          <w:szCs w:val="20"/>
        </w:rPr>
        <w:t>ini</w:t>
      </w:r>
      <w:r w:rsidRPr="006D383B">
        <w:rPr>
          <w:rFonts w:ascii="Arial" w:hAnsi="Arial" w:cs="Arial"/>
          <w:color w:val="000000"/>
          <w:sz w:val="20"/>
          <w:szCs w:val="20"/>
        </w:rPr>
        <w:t xml:space="preserve"> oluşturmaktadır. </w:t>
      </w:r>
      <w:r>
        <w:rPr>
          <w:rFonts w:ascii="Arial" w:hAnsi="Arial" w:cs="Arial"/>
          <w:color w:val="000000"/>
          <w:sz w:val="20"/>
          <w:szCs w:val="20"/>
        </w:rPr>
        <w:t>Nisan</w:t>
      </w:r>
      <w:r w:rsidRPr="006D383B">
        <w:rPr>
          <w:rFonts w:ascii="Arial" w:hAnsi="Arial" w:cs="Arial"/>
          <w:color w:val="000000"/>
          <w:sz w:val="20"/>
          <w:szCs w:val="20"/>
        </w:rPr>
        <w:t xml:space="preserve"> ayında kurulan şirketlerin sermayelerinin toplamı, </w:t>
      </w:r>
      <w:r>
        <w:rPr>
          <w:rFonts w:ascii="Arial" w:hAnsi="Arial" w:cs="Arial"/>
          <w:color w:val="000000"/>
          <w:sz w:val="20"/>
          <w:szCs w:val="20"/>
        </w:rPr>
        <w:t>Mart</w:t>
      </w:r>
      <w:r w:rsidRPr="006D383B">
        <w:rPr>
          <w:rFonts w:ascii="Arial" w:hAnsi="Arial" w:cs="Arial"/>
          <w:color w:val="000000"/>
          <w:sz w:val="20"/>
          <w:szCs w:val="20"/>
        </w:rPr>
        <w:t xml:space="preserve"> ayına göre </w:t>
      </w:r>
      <w:r>
        <w:rPr>
          <w:rFonts w:ascii="Arial" w:hAnsi="Arial" w:cs="Arial"/>
          <w:color w:val="000000"/>
          <w:sz w:val="20"/>
          <w:szCs w:val="20"/>
        </w:rPr>
        <w:t>%11,92</w:t>
      </w:r>
      <w:r w:rsidRPr="006D383B">
        <w:rPr>
          <w:rFonts w:ascii="Arial" w:hAnsi="Arial" w:cs="Arial"/>
          <w:color w:val="000000"/>
          <w:sz w:val="20"/>
          <w:szCs w:val="20"/>
        </w:rPr>
        <w:t xml:space="preserve"> oranında a</w:t>
      </w:r>
      <w:r>
        <w:rPr>
          <w:rFonts w:ascii="Arial" w:hAnsi="Arial" w:cs="Arial"/>
          <w:color w:val="000000"/>
          <w:sz w:val="20"/>
          <w:szCs w:val="20"/>
        </w:rPr>
        <w:t>zalmış</w:t>
      </w:r>
      <w:r w:rsidRPr="006D383B">
        <w:rPr>
          <w:rFonts w:ascii="Arial" w:hAnsi="Arial" w:cs="Arial"/>
          <w:color w:val="000000"/>
          <w:sz w:val="20"/>
          <w:szCs w:val="20"/>
        </w:rPr>
        <w:t xml:space="preserve">tır. </w:t>
      </w:r>
    </w:p>
    <w:p w:rsidR="0083541E" w:rsidRPr="005059FF" w:rsidRDefault="0083541E" w:rsidP="0083541E">
      <w:pPr>
        <w:jc w:val="center"/>
        <w:rPr>
          <w:rFonts w:ascii="Arial" w:hAnsi="Arial" w:cs="Arial"/>
          <w:sz w:val="18"/>
          <w:szCs w:val="20"/>
        </w:rPr>
      </w:pPr>
      <w:r>
        <w:rPr>
          <w:rFonts w:ascii="Arial" w:hAnsi="Arial" w:cs="Arial"/>
          <w:b/>
          <w:sz w:val="18"/>
          <w:szCs w:val="20"/>
        </w:rPr>
        <w:t>2019 Nisan Ayı</w:t>
      </w:r>
      <w:r w:rsidRPr="005059FF">
        <w:rPr>
          <w:rFonts w:ascii="Arial" w:hAnsi="Arial" w:cs="Arial"/>
          <w:b/>
          <w:sz w:val="18"/>
          <w:szCs w:val="20"/>
        </w:rPr>
        <w:t xml:space="preserve"> Şirket Türlerine Göre Şirket Kuruluşları</w:t>
      </w:r>
    </w:p>
    <w:tbl>
      <w:tblPr>
        <w:tblW w:w="5226" w:type="pct"/>
        <w:jc w:val="center"/>
        <w:tblLayout w:type="fixed"/>
        <w:tblLook w:val="04A0" w:firstRow="1" w:lastRow="0" w:firstColumn="1" w:lastColumn="0" w:noHBand="0" w:noVBand="1"/>
      </w:tblPr>
      <w:tblGrid>
        <w:gridCol w:w="1080"/>
        <w:gridCol w:w="1052"/>
        <w:gridCol w:w="1408"/>
        <w:gridCol w:w="1050"/>
        <w:gridCol w:w="1295"/>
        <w:gridCol w:w="1487"/>
        <w:gridCol w:w="1008"/>
        <w:gridCol w:w="1328"/>
      </w:tblGrid>
      <w:tr w:rsidR="0083541E" w:rsidRPr="005059FF" w:rsidTr="00954A74">
        <w:trPr>
          <w:trHeight w:val="328"/>
          <w:jc w:val="center"/>
        </w:trPr>
        <w:tc>
          <w:tcPr>
            <w:tcW w:w="1098"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83541E" w:rsidRPr="005059FF" w:rsidRDefault="0083541E" w:rsidP="00954A74">
            <w:pPr>
              <w:spacing w:after="0"/>
              <w:rPr>
                <w:rFonts w:ascii="Arial" w:hAnsi="Arial" w:cs="Arial"/>
                <w:b/>
                <w:sz w:val="16"/>
                <w:szCs w:val="16"/>
              </w:rPr>
            </w:pPr>
            <w:r w:rsidRPr="005059FF">
              <w:rPr>
                <w:rFonts w:ascii="Arial" w:eastAsia="Times New Roman" w:hAnsi="Arial" w:cs="Arial"/>
                <w:color w:val="000000"/>
                <w:sz w:val="16"/>
                <w:szCs w:val="16"/>
              </w:rPr>
              <w:t> </w:t>
            </w:r>
          </w:p>
        </w:tc>
        <w:tc>
          <w:tcPr>
            <w:tcW w:w="3218"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685"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83541E" w:rsidRPr="005059FF" w:rsidTr="00954A74">
        <w:trPr>
          <w:trHeight w:val="264"/>
          <w:jc w:val="center"/>
        </w:trPr>
        <w:tc>
          <w:tcPr>
            <w:tcW w:w="1098"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83541E" w:rsidRPr="005059FF" w:rsidRDefault="0083541E" w:rsidP="00954A74">
            <w:pPr>
              <w:spacing w:after="0" w:line="240" w:lineRule="auto"/>
              <w:rPr>
                <w:rFonts w:ascii="Arial" w:eastAsia="Times New Roman" w:hAnsi="Arial" w:cs="Arial"/>
                <w:color w:val="000000"/>
                <w:sz w:val="16"/>
                <w:szCs w:val="16"/>
              </w:rPr>
            </w:pPr>
          </w:p>
        </w:tc>
        <w:tc>
          <w:tcPr>
            <w:tcW w:w="725" w:type="pct"/>
            <w:tcBorders>
              <w:top w:val="single" w:sz="8" w:space="0" w:color="000000"/>
              <w:left w:val="nil"/>
              <w:bottom w:val="single" w:sz="8" w:space="0" w:color="auto"/>
              <w:right w:val="single" w:sz="8" w:space="0" w:color="auto"/>
            </w:tcBorders>
            <w:shd w:val="clear" w:color="000000" w:fill="D9D9D9"/>
            <w:noWrap/>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41" w:type="pct"/>
            <w:tcBorders>
              <w:top w:val="single" w:sz="8" w:space="0" w:color="000000"/>
              <w:left w:val="nil"/>
              <w:bottom w:val="single" w:sz="8" w:space="0" w:color="auto"/>
              <w:right w:val="single" w:sz="8" w:space="0" w:color="auto"/>
            </w:tcBorders>
            <w:shd w:val="clear" w:color="000000" w:fill="D9D9D9"/>
            <w:noWrap/>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proofErr w:type="spellStart"/>
            <w:r w:rsidRPr="005059FF">
              <w:rPr>
                <w:rFonts w:ascii="Arial" w:eastAsia="Times New Roman" w:hAnsi="Arial" w:cs="Arial"/>
                <w:b/>
                <w:bCs/>
                <w:color w:val="000000"/>
                <w:sz w:val="16"/>
                <w:szCs w:val="16"/>
              </w:rPr>
              <w:t>Kollektif</w:t>
            </w:r>
            <w:proofErr w:type="spellEnd"/>
          </w:p>
        </w:tc>
        <w:tc>
          <w:tcPr>
            <w:tcW w:w="667" w:type="pct"/>
            <w:tcBorders>
              <w:top w:val="single" w:sz="8" w:space="0" w:color="000000"/>
              <w:left w:val="nil"/>
              <w:bottom w:val="single" w:sz="8" w:space="0" w:color="auto"/>
              <w:right w:val="single" w:sz="8" w:space="0" w:color="auto"/>
            </w:tcBorders>
            <w:shd w:val="clear" w:color="000000" w:fill="D9D9D9"/>
            <w:noWrap/>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766" w:type="pct"/>
            <w:tcBorders>
              <w:top w:val="single" w:sz="8" w:space="0" w:color="000000"/>
              <w:left w:val="nil"/>
              <w:bottom w:val="single" w:sz="8" w:space="0" w:color="auto"/>
              <w:right w:val="single" w:sz="8" w:space="0" w:color="auto"/>
            </w:tcBorders>
            <w:shd w:val="clear" w:color="000000" w:fill="D9D9D9"/>
            <w:noWrap/>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19" w:type="pct"/>
            <w:tcBorders>
              <w:top w:val="single" w:sz="8" w:space="0" w:color="000000"/>
              <w:left w:val="nil"/>
              <w:bottom w:val="single" w:sz="8" w:space="0" w:color="auto"/>
              <w:right w:val="single" w:sz="8" w:space="0" w:color="auto"/>
            </w:tcBorders>
            <w:shd w:val="clear" w:color="000000" w:fill="D9D9D9"/>
            <w:noWrap/>
            <w:vAlign w:val="bottom"/>
            <w:hideMark/>
          </w:tcPr>
          <w:p w:rsidR="0083541E" w:rsidRPr="005059FF" w:rsidRDefault="0083541E" w:rsidP="00954A74">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685" w:type="pct"/>
            <w:vMerge/>
            <w:tcBorders>
              <w:top w:val="single" w:sz="8" w:space="0" w:color="auto"/>
              <w:left w:val="nil"/>
              <w:bottom w:val="single" w:sz="8" w:space="0" w:color="000000"/>
              <w:right w:val="single" w:sz="8" w:space="0" w:color="000000"/>
            </w:tcBorders>
            <w:vAlign w:val="center"/>
            <w:hideMark/>
          </w:tcPr>
          <w:p w:rsidR="0083541E" w:rsidRPr="005059FF" w:rsidRDefault="0083541E" w:rsidP="00954A74">
            <w:pPr>
              <w:spacing w:after="0" w:line="240" w:lineRule="auto"/>
              <w:rPr>
                <w:rFonts w:ascii="Arial" w:eastAsia="Times New Roman" w:hAnsi="Arial" w:cs="Arial"/>
                <w:b/>
                <w:bCs/>
                <w:color w:val="000000"/>
                <w:sz w:val="16"/>
                <w:szCs w:val="16"/>
              </w:rPr>
            </w:pPr>
          </w:p>
        </w:tc>
      </w:tr>
      <w:tr w:rsidR="0083541E" w:rsidRPr="005059FF" w:rsidTr="00954A74">
        <w:trPr>
          <w:trHeight w:val="313"/>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ŞUBAT 2019</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5059FF" w:rsidRDefault="0083541E" w:rsidP="00954A74">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893</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1</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5.800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78</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6.772</w:t>
            </w:r>
          </w:p>
        </w:tc>
      </w:tr>
      <w:tr w:rsidR="0083541E" w:rsidRPr="005059FF" w:rsidTr="00954A74">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5059FF" w:rsidRDefault="0083541E" w:rsidP="00954A74">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871.439.573</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60.000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1.530.109.250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 </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147E3F" w:rsidRDefault="0083541E" w:rsidP="00954A74">
            <w:pPr>
              <w:spacing w:after="0" w:line="240" w:lineRule="auto"/>
              <w:jc w:val="right"/>
              <w:rPr>
                <w:rFonts w:ascii="Arial" w:hAnsi="Arial" w:cs="Arial"/>
                <w:color w:val="000000"/>
                <w:sz w:val="16"/>
                <w:szCs w:val="16"/>
              </w:rPr>
            </w:pPr>
            <w:r w:rsidRPr="00147E3F">
              <w:rPr>
                <w:rFonts w:ascii="Arial" w:hAnsi="Arial" w:cs="Arial"/>
                <w:color w:val="000000"/>
                <w:sz w:val="16"/>
                <w:szCs w:val="16"/>
              </w:rPr>
              <w:t>2.401.608.823</w:t>
            </w:r>
          </w:p>
        </w:tc>
      </w:tr>
      <w:tr w:rsidR="0083541E" w:rsidRPr="005059FF" w:rsidTr="00954A74">
        <w:trPr>
          <w:trHeight w:val="313"/>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75555D" w:rsidRDefault="0083541E" w:rsidP="00954A74">
            <w:pPr>
              <w:spacing w:after="0" w:line="240" w:lineRule="auto"/>
              <w:jc w:val="center"/>
              <w:rPr>
                <w:rFonts w:ascii="Arial" w:eastAsia="Times New Roman" w:hAnsi="Arial" w:cs="Arial"/>
                <w:b/>
                <w:bCs/>
                <w:color w:val="000000"/>
                <w:sz w:val="16"/>
                <w:szCs w:val="16"/>
              </w:rPr>
            </w:pPr>
            <w:proofErr w:type="gramStart"/>
            <w:r>
              <w:rPr>
                <w:rFonts w:ascii="Arial" w:eastAsia="Times New Roman" w:hAnsi="Arial" w:cs="Arial"/>
                <w:b/>
                <w:bCs/>
                <w:color w:val="000000"/>
                <w:sz w:val="16"/>
                <w:szCs w:val="16"/>
              </w:rPr>
              <w:t>MART  2019</w:t>
            </w:r>
            <w:proofErr w:type="gramEnd"/>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027F69" w:rsidRDefault="0083541E" w:rsidP="00954A74">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996</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3</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6.058</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94</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7.151</w:t>
            </w:r>
          </w:p>
        </w:tc>
      </w:tr>
      <w:tr w:rsidR="0083541E" w:rsidRPr="005059FF" w:rsidTr="00954A74">
        <w:trPr>
          <w:trHeight w:val="313"/>
          <w:jc w:val="center"/>
        </w:trPr>
        <w:tc>
          <w:tcPr>
            <w:tcW w:w="55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027F69" w:rsidRDefault="0083541E" w:rsidP="00954A74">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694.279.365</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555.000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1.638.999.675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 </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BF5B2E" w:rsidRDefault="0083541E" w:rsidP="00954A74">
            <w:pPr>
              <w:spacing w:after="0" w:line="240" w:lineRule="auto"/>
              <w:jc w:val="right"/>
              <w:rPr>
                <w:rFonts w:ascii="Arial" w:hAnsi="Arial" w:cs="Arial"/>
                <w:color w:val="000000"/>
                <w:sz w:val="16"/>
                <w:szCs w:val="16"/>
              </w:rPr>
            </w:pPr>
            <w:r w:rsidRPr="00BF5B2E">
              <w:rPr>
                <w:rFonts w:ascii="Arial" w:hAnsi="Arial" w:cs="Arial"/>
                <w:color w:val="000000"/>
                <w:sz w:val="16"/>
                <w:szCs w:val="16"/>
              </w:rPr>
              <w:t>2.333.834.040</w:t>
            </w:r>
          </w:p>
        </w:tc>
      </w:tr>
      <w:tr w:rsidR="0083541E" w:rsidRPr="005059FF" w:rsidTr="00954A74">
        <w:trPr>
          <w:trHeight w:val="313"/>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75555D" w:rsidRDefault="0083541E" w:rsidP="00954A7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NİSAN 2019</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027F69" w:rsidRDefault="0083541E" w:rsidP="00954A74">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917</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2</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5.774</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96</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6.789</w:t>
            </w:r>
          </w:p>
        </w:tc>
      </w:tr>
      <w:tr w:rsidR="0083541E" w:rsidRPr="005059FF" w:rsidTr="00954A74">
        <w:trPr>
          <w:trHeight w:val="313"/>
          <w:jc w:val="center"/>
        </w:trPr>
        <w:tc>
          <w:tcPr>
            <w:tcW w:w="55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027F69" w:rsidRDefault="0083541E" w:rsidP="00954A74">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427.482.202</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510.000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1.627.567.000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 </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2301A9" w:rsidRDefault="0083541E" w:rsidP="00954A74">
            <w:pPr>
              <w:spacing w:after="0" w:line="240" w:lineRule="auto"/>
              <w:jc w:val="right"/>
              <w:rPr>
                <w:rFonts w:ascii="Arial" w:hAnsi="Arial" w:cs="Arial"/>
                <w:color w:val="000000"/>
                <w:sz w:val="16"/>
                <w:szCs w:val="16"/>
              </w:rPr>
            </w:pPr>
            <w:r w:rsidRPr="002301A9">
              <w:rPr>
                <w:rFonts w:ascii="Arial" w:hAnsi="Arial" w:cs="Arial"/>
                <w:color w:val="000000"/>
                <w:sz w:val="16"/>
                <w:szCs w:val="16"/>
              </w:rPr>
              <w:t>2.055.559.202</w:t>
            </w:r>
          </w:p>
        </w:tc>
      </w:tr>
      <w:tr w:rsidR="0083541E" w:rsidRPr="005059FF" w:rsidTr="00954A74">
        <w:trPr>
          <w:trHeight w:val="313"/>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2019 TOPLAM</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75555D" w:rsidRDefault="0083541E" w:rsidP="00954A74">
            <w:pPr>
              <w:spacing w:after="0" w:line="240" w:lineRule="auto"/>
              <w:jc w:val="right"/>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3.807</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8</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24.907</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357</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29.079</w:t>
            </w:r>
          </w:p>
        </w:tc>
      </w:tr>
      <w:tr w:rsidR="0083541E" w:rsidRPr="005059FF" w:rsidTr="00954A74">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75555D" w:rsidRDefault="0083541E" w:rsidP="00954A74">
            <w:pPr>
              <w:spacing w:after="0" w:line="240" w:lineRule="auto"/>
              <w:jc w:val="right"/>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2.677.774.286</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1.425.000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6.656.798.800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 </w:t>
            </w: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83541E" w:rsidRPr="002301A9" w:rsidRDefault="0083541E" w:rsidP="00954A74">
            <w:pPr>
              <w:spacing w:after="0" w:line="240" w:lineRule="auto"/>
              <w:jc w:val="right"/>
              <w:rPr>
                <w:rFonts w:ascii="Arial" w:hAnsi="Arial" w:cs="Arial"/>
                <w:b/>
                <w:color w:val="000000"/>
                <w:sz w:val="16"/>
                <w:szCs w:val="16"/>
              </w:rPr>
            </w:pPr>
            <w:r w:rsidRPr="002301A9">
              <w:rPr>
                <w:rFonts w:ascii="Arial" w:hAnsi="Arial" w:cs="Arial"/>
                <w:b/>
                <w:color w:val="000000"/>
                <w:sz w:val="16"/>
                <w:szCs w:val="16"/>
              </w:rPr>
              <w:t>9.335.998.086</w:t>
            </w:r>
          </w:p>
        </w:tc>
      </w:tr>
    </w:tbl>
    <w:p w:rsidR="0083541E" w:rsidRDefault="0083541E" w:rsidP="0083541E">
      <w:pPr>
        <w:jc w:val="both"/>
        <w:rPr>
          <w:rFonts w:ascii="Arial" w:hAnsi="Arial" w:cs="Arial"/>
          <w:b/>
        </w:rPr>
      </w:pPr>
    </w:p>
    <w:p w:rsidR="0083541E" w:rsidRPr="00A254A0" w:rsidRDefault="0083541E" w:rsidP="0083541E">
      <w:pPr>
        <w:jc w:val="both"/>
        <w:rPr>
          <w:rFonts w:ascii="Arial" w:hAnsi="Arial" w:cs="Arial"/>
          <w:sz w:val="20"/>
          <w:szCs w:val="20"/>
        </w:rPr>
      </w:pPr>
      <w:r>
        <w:rPr>
          <w:rFonts w:ascii="Arial" w:hAnsi="Arial" w:cs="Arial"/>
          <w:b/>
        </w:rPr>
        <w:t>2019</w:t>
      </w:r>
      <w:r w:rsidRPr="00A254A0">
        <w:rPr>
          <w:rFonts w:ascii="Arial" w:hAnsi="Arial" w:cs="Arial"/>
          <w:b/>
        </w:rPr>
        <w:t xml:space="preserve"> </w:t>
      </w:r>
      <w:r>
        <w:rPr>
          <w:rFonts w:ascii="Arial" w:hAnsi="Arial" w:cs="Arial"/>
          <w:b/>
        </w:rPr>
        <w:t>Nisan</w:t>
      </w:r>
      <w:r w:rsidRPr="00A254A0">
        <w:rPr>
          <w:rFonts w:ascii="Arial" w:hAnsi="Arial" w:cs="Arial"/>
          <w:b/>
        </w:rPr>
        <w:t xml:space="preserve"> ayında şirket ve kooperatif</w:t>
      </w:r>
      <w:r>
        <w:rPr>
          <w:rFonts w:ascii="Arial" w:hAnsi="Arial" w:cs="Arial"/>
          <w:b/>
        </w:rPr>
        <w:t xml:space="preserve">lerin 2.353’ü </w:t>
      </w:r>
      <w:r w:rsidRPr="00A254A0">
        <w:rPr>
          <w:rFonts w:ascii="Arial" w:hAnsi="Arial" w:cs="Arial"/>
          <w:b/>
        </w:rPr>
        <w:t>ticaret</w:t>
      </w:r>
      <w:r>
        <w:rPr>
          <w:rFonts w:ascii="Arial" w:hAnsi="Arial" w:cs="Arial"/>
          <w:b/>
        </w:rPr>
        <w:t>,</w:t>
      </w:r>
      <w:r w:rsidRPr="00A254A0">
        <w:rPr>
          <w:rFonts w:ascii="Arial" w:hAnsi="Arial" w:cs="Arial"/>
          <w:b/>
        </w:rPr>
        <w:t xml:space="preserve">  </w:t>
      </w:r>
      <w:r>
        <w:rPr>
          <w:rFonts w:ascii="Arial" w:hAnsi="Arial" w:cs="Arial"/>
          <w:b/>
        </w:rPr>
        <w:t xml:space="preserve">997’si imalat ve 616’sı inşaat sektöründe kurulmuştur.  708 </w:t>
      </w:r>
      <w:r w:rsidRPr="00A254A0">
        <w:rPr>
          <w:rFonts w:ascii="Arial" w:hAnsi="Arial" w:cs="Arial"/>
          <w:b/>
        </w:rPr>
        <w:t>gerçek kişi ticari işletmesi</w:t>
      </w:r>
      <w:r>
        <w:rPr>
          <w:rFonts w:ascii="Arial" w:hAnsi="Arial" w:cs="Arial"/>
          <w:b/>
        </w:rPr>
        <w:t xml:space="preserve"> ise ticaret sektöründe </w:t>
      </w:r>
      <w:r w:rsidRPr="00A254A0">
        <w:rPr>
          <w:rFonts w:ascii="Arial" w:hAnsi="Arial" w:cs="Arial"/>
          <w:b/>
        </w:rPr>
        <w:t>kuruldu</w:t>
      </w:r>
      <w:r w:rsidRPr="00A254A0">
        <w:rPr>
          <w:rFonts w:ascii="Arial" w:hAnsi="Arial" w:cs="Arial"/>
          <w:sz w:val="20"/>
          <w:szCs w:val="20"/>
        </w:rPr>
        <w:t>.</w:t>
      </w:r>
    </w:p>
    <w:p w:rsidR="0083541E" w:rsidRDefault="0083541E" w:rsidP="0083541E">
      <w:pPr>
        <w:pStyle w:val="ListeParagraf"/>
        <w:numPr>
          <w:ilvl w:val="0"/>
          <w:numId w:val="3"/>
        </w:numPr>
        <w:jc w:val="both"/>
        <w:rPr>
          <w:rFonts w:ascii="Arial" w:hAnsi="Arial" w:cs="Arial"/>
          <w:sz w:val="20"/>
          <w:szCs w:val="20"/>
        </w:rPr>
      </w:pPr>
      <w:r w:rsidRPr="006F612C">
        <w:rPr>
          <w:rFonts w:ascii="Arial" w:hAnsi="Arial" w:cs="Arial"/>
          <w:sz w:val="20"/>
          <w:szCs w:val="20"/>
        </w:rPr>
        <w:t xml:space="preserve">2019 Nisan ayında şirket ve kooperatiflerin 2.353’ü ticaret,  997’si imalat ve 616’sı inşaat sektöründe kurulmuştur. </w:t>
      </w:r>
      <w:r>
        <w:rPr>
          <w:rFonts w:ascii="Arial" w:hAnsi="Arial" w:cs="Arial"/>
          <w:sz w:val="20"/>
          <w:szCs w:val="20"/>
        </w:rPr>
        <w:t>2019</w:t>
      </w:r>
      <w:r w:rsidRPr="00FA3144">
        <w:rPr>
          <w:rFonts w:ascii="Arial" w:hAnsi="Arial" w:cs="Arial"/>
          <w:sz w:val="20"/>
          <w:szCs w:val="20"/>
        </w:rPr>
        <w:t xml:space="preserve"> </w:t>
      </w:r>
      <w:r>
        <w:rPr>
          <w:rFonts w:ascii="Arial" w:hAnsi="Arial" w:cs="Arial"/>
          <w:sz w:val="20"/>
          <w:szCs w:val="20"/>
        </w:rPr>
        <w:t>Nisan</w:t>
      </w:r>
      <w:r w:rsidRPr="00100EF1">
        <w:rPr>
          <w:rFonts w:ascii="Arial" w:hAnsi="Arial" w:cs="Arial"/>
          <w:sz w:val="20"/>
          <w:szCs w:val="20"/>
        </w:rPr>
        <w:t xml:space="preserve"> ayında kurulan gerçek kişi ticari işletmelerinin; </w:t>
      </w:r>
      <w:r>
        <w:rPr>
          <w:rFonts w:ascii="Arial" w:hAnsi="Arial" w:cs="Arial"/>
          <w:sz w:val="20"/>
          <w:szCs w:val="20"/>
        </w:rPr>
        <w:t xml:space="preserve">708’i </w:t>
      </w:r>
      <w:r w:rsidRPr="00100EF1">
        <w:rPr>
          <w:rFonts w:ascii="Arial" w:hAnsi="Arial" w:cs="Arial"/>
          <w:sz w:val="20"/>
          <w:szCs w:val="20"/>
        </w:rPr>
        <w:t>toptan ve perakende ticaret</w:t>
      </w:r>
      <w:r>
        <w:rPr>
          <w:rFonts w:ascii="Arial" w:hAnsi="Arial" w:cs="Arial"/>
          <w:sz w:val="20"/>
          <w:szCs w:val="20"/>
        </w:rPr>
        <w:t xml:space="preserve"> </w:t>
      </w:r>
      <w:r w:rsidRPr="00100EF1">
        <w:rPr>
          <w:rFonts w:ascii="Arial" w:hAnsi="Arial" w:cs="Arial"/>
          <w:sz w:val="20"/>
          <w:szCs w:val="20"/>
        </w:rPr>
        <w:t>motorlu taşıtların ve motosikletlerin onarımı</w:t>
      </w:r>
      <w:r>
        <w:rPr>
          <w:rFonts w:ascii="Arial" w:hAnsi="Arial" w:cs="Arial"/>
          <w:sz w:val="20"/>
          <w:szCs w:val="20"/>
        </w:rPr>
        <w:t>, 294’ü imalat, 275</w:t>
      </w:r>
      <w:r w:rsidRPr="00100EF1">
        <w:rPr>
          <w:rFonts w:ascii="Arial" w:hAnsi="Arial" w:cs="Arial"/>
          <w:sz w:val="20"/>
          <w:szCs w:val="20"/>
        </w:rPr>
        <w:t>’</w:t>
      </w:r>
      <w:r>
        <w:rPr>
          <w:rFonts w:ascii="Arial" w:hAnsi="Arial" w:cs="Arial"/>
          <w:sz w:val="20"/>
          <w:szCs w:val="20"/>
        </w:rPr>
        <w:t>i inşaat</w:t>
      </w:r>
      <w:r w:rsidRPr="00100EF1">
        <w:rPr>
          <w:rFonts w:ascii="Arial" w:hAnsi="Arial" w:cs="Arial"/>
          <w:sz w:val="20"/>
          <w:szCs w:val="20"/>
        </w:rPr>
        <w:t xml:space="preserve"> </w:t>
      </w:r>
      <w:r>
        <w:rPr>
          <w:rFonts w:ascii="Arial" w:hAnsi="Arial" w:cs="Arial"/>
          <w:sz w:val="20"/>
          <w:szCs w:val="20"/>
        </w:rPr>
        <w:t>sektöründedir</w:t>
      </w:r>
      <w:r w:rsidRPr="00100EF1">
        <w:rPr>
          <w:rFonts w:ascii="Arial" w:hAnsi="Arial" w:cs="Arial"/>
          <w:sz w:val="20"/>
          <w:szCs w:val="20"/>
        </w:rPr>
        <w:t>.</w:t>
      </w:r>
    </w:p>
    <w:p w:rsidR="0083541E" w:rsidRPr="00100EF1" w:rsidRDefault="0083541E" w:rsidP="0083541E">
      <w:pPr>
        <w:pStyle w:val="ListeParagraf"/>
        <w:jc w:val="both"/>
        <w:rPr>
          <w:rFonts w:ascii="Arial" w:hAnsi="Arial" w:cs="Arial"/>
          <w:sz w:val="20"/>
          <w:szCs w:val="20"/>
        </w:rPr>
      </w:pPr>
    </w:p>
    <w:p w:rsidR="0083541E" w:rsidRDefault="0083541E" w:rsidP="0083541E">
      <w:pPr>
        <w:pStyle w:val="ListeParagraf"/>
        <w:numPr>
          <w:ilvl w:val="0"/>
          <w:numId w:val="3"/>
        </w:numPr>
        <w:jc w:val="both"/>
        <w:rPr>
          <w:rFonts w:ascii="Arial" w:hAnsi="Arial" w:cs="Arial"/>
          <w:sz w:val="20"/>
          <w:szCs w:val="20"/>
        </w:rPr>
      </w:pPr>
      <w:r w:rsidRPr="00100EF1">
        <w:rPr>
          <w:rFonts w:ascii="Arial" w:hAnsi="Arial" w:cs="Arial"/>
          <w:sz w:val="20"/>
          <w:szCs w:val="20"/>
        </w:rPr>
        <w:t xml:space="preserve">Bu ay kapanan şirket ve kooperatiflerin; </w:t>
      </w:r>
      <w:r>
        <w:rPr>
          <w:rFonts w:ascii="Arial" w:hAnsi="Arial" w:cs="Arial"/>
          <w:sz w:val="20"/>
          <w:szCs w:val="20"/>
        </w:rPr>
        <w:t>235’i</w:t>
      </w:r>
      <w:r w:rsidRPr="00100EF1">
        <w:rPr>
          <w:rFonts w:ascii="Arial" w:hAnsi="Arial" w:cs="Arial"/>
          <w:sz w:val="20"/>
          <w:szCs w:val="20"/>
        </w:rPr>
        <w:t xml:space="preserve"> toptan ve perakende ticaret, motorlu taşıtların ve motosikletlerin onarımı, </w:t>
      </w:r>
      <w:r>
        <w:rPr>
          <w:rFonts w:ascii="Arial" w:hAnsi="Arial" w:cs="Arial"/>
          <w:sz w:val="20"/>
          <w:szCs w:val="20"/>
        </w:rPr>
        <w:t>138</w:t>
      </w:r>
      <w:r w:rsidRPr="00100EF1">
        <w:rPr>
          <w:rFonts w:ascii="Arial" w:hAnsi="Arial" w:cs="Arial"/>
          <w:sz w:val="20"/>
          <w:szCs w:val="20"/>
        </w:rPr>
        <w:t>’</w:t>
      </w:r>
      <w:r>
        <w:rPr>
          <w:rFonts w:ascii="Arial" w:hAnsi="Arial" w:cs="Arial"/>
          <w:sz w:val="20"/>
          <w:szCs w:val="20"/>
        </w:rPr>
        <w:t>i</w:t>
      </w:r>
      <w:r w:rsidRPr="00100EF1">
        <w:rPr>
          <w:rFonts w:ascii="Arial" w:hAnsi="Arial" w:cs="Arial"/>
          <w:sz w:val="20"/>
          <w:szCs w:val="20"/>
        </w:rPr>
        <w:t xml:space="preserve"> inşaat</w:t>
      </w:r>
      <w:r>
        <w:rPr>
          <w:rFonts w:ascii="Arial" w:hAnsi="Arial" w:cs="Arial"/>
          <w:sz w:val="20"/>
          <w:szCs w:val="20"/>
        </w:rPr>
        <w:t>,</w:t>
      </w:r>
      <w:r w:rsidRPr="00100EF1">
        <w:rPr>
          <w:rFonts w:ascii="Arial" w:hAnsi="Arial" w:cs="Arial"/>
          <w:sz w:val="20"/>
          <w:szCs w:val="20"/>
        </w:rPr>
        <w:t xml:space="preserve"> </w:t>
      </w:r>
      <w:r>
        <w:rPr>
          <w:rFonts w:ascii="Arial" w:hAnsi="Arial" w:cs="Arial"/>
          <w:sz w:val="20"/>
          <w:szCs w:val="20"/>
        </w:rPr>
        <w:t>62’si</w:t>
      </w:r>
      <w:r w:rsidRPr="00100EF1">
        <w:rPr>
          <w:rFonts w:ascii="Arial" w:hAnsi="Arial" w:cs="Arial"/>
          <w:sz w:val="20"/>
          <w:szCs w:val="20"/>
        </w:rPr>
        <w:t xml:space="preserve"> </w:t>
      </w:r>
      <w:r>
        <w:rPr>
          <w:rFonts w:ascii="Arial" w:hAnsi="Arial" w:cs="Arial"/>
          <w:sz w:val="20"/>
          <w:szCs w:val="20"/>
        </w:rPr>
        <w:t>imalat</w:t>
      </w:r>
      <w:r w:rsidRPr="00100EF1">
        <w:rPr>
          <w:rFonts w:ascii="Arial" w:hAnsi="Arial" w:cs="Arial"/>
          <w:sz w:val="20"/>
          <w:szCs w:val="20"/>
        </w:rPr>
        <w:t xml:space="preserve"> sektöründedir. </w:t>
      </w:r>
    </w:p>
    <w:p w:rsidR="0083541E" w:rsidRDefault="0083541E" w:rsidP="0083541E">
      <w:pPr>
        <w:pStyle w:val="ListeParagraf"/>
        <w:rPr>
          <w:rFonts w:ascii="Arial" w:hAnsi="Arial" w:cs="Arial"/>
          <w:sz w:val="20"/>
          <w:szCs w:val="20"/>
        </w:rPr>
      </w:pPr>
    </w:p>
    <w:p w:rsidR="0083541E" w:rsidRPr="00030143" w:rsidRDefault="0083541E" w:rsidP="0083541E">
      <w:pPr>
        <w:pStyle w:val="ListeParagraf"/>
        <w:numPr>
          <w:ilvl w:val="0"/>
          <w:numId w:val="3"/>
        </w:numPr>
        <w:jc w:val="both"/>
        <w:rPr>
          <w:rFonts w:ascii="Arial" w:hAnsi="Arial" w:cs="Arial"/>
          <w:sz w:val="20"/>
          <w:szCs w:val="20"/>
        </w:rPr>
      </w:pPr>
      <w:r w:rsidRPr="00030143">
        <w:rPr>
          <w:rFonts w:ascii="Arial" w:hAnsi="Arial" w:cs="Arial"/>
          <w:sz w:val="20"/>
          <w:szCs w:val="20"/>
        </w:rPr>
        <w:t xml:space="preserve">Bu ay kapanan gerçek kişi ticari işletmelerinin </w:t>
      </w:r>
      <w:r>
        <w:rPr>
          <w:rFonts w:ascii="Arial" w:hAnsi="Arial" w:cs="Arial"/>
          <w:sz w:val="20"/>
          <w:szCs w:val="20"/>
        </w:rPr>
        <w:t>533’ü</w:t>
      </w:r>
      <w:r w:rsidRPr="00030143">
        <w:rPr>
          <w:rFonts w:ascii="Arial" w:hAnsi="Arial" w:cs="Arial"/>
          <w:sz w:val="20"/>
          <w:szCs w:val="20"/>
        </w:rPr>
        <w:t xml:space="preserve"> toptan ve perakende ticaret, motorlu taşıtların ve motosikletlerin onarımı,</w:t>
      </w:r>
      <w:r>
        <w:rPr>
          <w:rFonts w:ascii="Arial" w:hAnsi="Arial" w:cs="Arial"/>
          <w:sz w:val="20"/>
          <w:szCs w:val="20"/>
        </w:rPr>
        <w:t xml:space="preserve"> </w:t>
      </w:r>
      <w:r w:rsidRPr="00030143">
        <w:rPr>
          <w:rFonts w:ascii="Arial" w:hAnsi="Arial" w:cs="Arial"/>
          <w:sz w:val="20"/>
          <w:szCs w:val="20"/>
        </w:rPr>
        <w:t xml:space="preserve"> </w:t>
      </w:r>
      <w:r>
        <w:rPr>
          <w:rFonts w:ascii="Arial" w:hAnsi="Arial" w:cs="Arial"/>
          <w:sz w:val="20"/>
          <w:szCs w:val="20"/>
        </w:rPr>
        <w:t>248</w:t>
      </w:r>
      <w:r w:rsidRPr="00030143">
        <w:rPr>
          <w:rFonts w:ascii="Arial" w:hAnsi="Arial" w:cs="Arial"/>
          <w:sz w:val="20"/>
          <w:szCs w:val="20"/>
        </w:rPr>
        <w:t>’</w:t>
      </w:r>
      <w:r>
        <w:rPr>
          <w:rFonts w:ascii="Arial" w:hAnsi="Arial" w:cs="Arial"/>
          <w:sz w:val="20"/>
          <w:szCs w:val="20"/>
        </w:rPr>
        <w:t>i</w:t>
      </w:r>
      <w:r w:rsidRPr="00030143">
        <w:rPr>
          <w:rFonts w:ascii="Arial" w:hAnsi="Arial" w:cs="Arial"/>
          <w:sz w:val="20"/>
          <w:szCs w:val="20"/>
        </w:rPr>
        <w:t xml:space="preserve"> </w:t>
      </w:r>
      <w:r>
        <w:rPr>
          <w:rFonts w:ascii="Arial" w:hAnsi="Arial" w:cs="Arial"/>
          <w:sz w:val="20"/>
          <w:szCs w:val="20"/>
        </w:rPr>
        <w:t>inşaat, 118</w:t>
      </w:r>
      <w:r w:rsidRPr="00030143">
        <w:rPr>
          <w:rFonts w:ascii="Arial" w:hAnsi="Arial" w:cs="Arial"/>
          <w:sz w:val="20"/>
          <w:szCs w:val="20"/>
        </w:rPr>
        <w:t>’</w:t>
      </w:r>
      <w:r>
        <w:rPr>
          <w:rFonts w:ascii="Arial" w:hAnsi="Arial" w:cs="Arial"/>
          <w:sz w:val="20"/>
          <w:szCs w:val="20"/>
        </w:rPr>
        <w:t>i</w:t>
      </w:r>
      <w:r w:rsidRPr="00030143">
        <w:rPr>
          <w:rFonts w:ascii="Arial" w:hAnsi="Arial" w:cs="Arial"/>
          <w:sz w:val="20"/>
          <w:szCs w:val="20"/>
        </w:rPr>
        <w:t xml:space="preserve"> i</w:t>
      </w:r>
      <w:r>
        <w:rPr>
          <w:rFonts w:ascii="Arial" w:hAnsi="Arial" w:cs="Arial"/>
          <w:sz w:val="20"/>
          <w:szCs w:val="20"/>
        </w:rPr>
        <w:t>malat sektöründedir</w:t>
      </w:r>
      <w:r w:rsidRPr="00030143">
        <w:rPr>
          <w:rFonts w:ascii="Arial" w:hAnsi="Arial" w:cs="Arial"/>
          <w:sz w:val="20"/>
          <w:szCs w:val="20"/>
        </w:rPr>
        <w:t xml:space="preserve">. </w:t>
      </w:r>
    </w:p>
    <w:p w:rsidR="0083541E" w:rsidRPr="002E3787" w:rsidRDefault="0083541E" w:rsidP="0083541E">
      <w:pPr>
        <w:spacing w:after="0" w:line="0" w:lineRule="atLeast"/>
        <w:contextualSpacing/>
        <w:jc w:val="both"/>
        <w:rPr>
          <w:rFonts w:ascii="Arial" w:hAnsi="Arial" w:cs="Arial"/>
          <w:b/>
        </w:rPr>
      </w:pPr>
      <w:r>
        <w:rPr>
          <w:rFonts w:ascii="Arial" w:hAnsi="Arial" w:cs="Arial"/>
          <w:b/>
        </w:rPr>
        <w:t>2019</w:t>
      </w:r>
      <w:r w:rsidRPr="002E3787">
        <w:rPr>
          <w:rFonts w:ascii="Arial" w:hAnsi="Arial" w:cs="Arial"/>
          <w:b/>
        </w:rPr>
        <w:t xml:space="preserve"> </w:t>
      </w:r>
      <w:r>
        <w:rPr>
          <w:rFonts w:ascii="Arial" w:hAnsi="Arial" w:cs="Arial"/>
          <w:b/>
        </w:rPr>
        <w:t>Nisan</w:t>
      </w:r>
      <w:r w:rsidRPr="002E3787">
        <w:rPr>
          <w:rFonts w:ascii="Arial" w:hAnsi="Arial" w:cs="Arial"/>
          <w:b/>
        </w:rPr>
        <w:t xml:space="preserve"> ayında kurulan </w:t>
      </w:r>
      <w:r>
        <w:rPr>
          <w:rFonts w:ascii="Arial" w:hAnsi="Arial" w:cs="Arial"/>
          <w:b/>
        </w:rPr>
        <w:t>96</w:t>
      </w:r>
      <w:r w:rsidRPr="002E3787">
        <w:rPr>
          <w:rFonts w:ascii="Arial" w:hAnsi="Arial" w:cs="Arial"/>
          <w:b/>
        </w:rPr>
        <w:t xml:space="preserve"> Kooperatifin </w:t>
      </w:r>
      <w:r>
        <w:rPr>
          <w:rFonts w:ascii="Arial" w:hAnsi="Arial" w:cs="Arial"/>
          <w:b/>
        </w:rPr>
        <w:t>33</w:t>
      </w:r>
      <w:r w:rsidRPr="002E3787">
        <w:rPr>
          <w:rFonts w:ascii="Arial" w:hAnsi="Arial" w:cs="Arial"/>
          <w:b/>
        </w:rPr>
        <w:t>’</w:t>
      </w:r>
      <w:r>
        <w:rPr>
          <w:rFonts w:ascii="Arial" w:hAnsi="Arial" w:cs="Arial"/>
          <w:b/>
        </w:rPr>
        <w:t>ü</w:t>
      </w:r>
      <w:r w:rsidRPr="002E3787">
        <w:rPr>
          <w:rFonts w:ascii="Arial" w:hAnsi="Arial" w:cs="Arial"/>
          <w:b/>
        </w:rPr>
        <w:t xml:space="preserve"> Konut Yapı Kooperatifidir.</w:t>
      </w:r>
    </w:p>
    <w:p w:rsidR="0083541E" w:rsidRPr="00811F6A" w:rsidRDefault="0083541E" w:rsidP="0083541E">
      <w:pPr>
        <w:pStyle w:val="ListeParagraf"/>
        <w:numPr>
          <w:ilvl w:val="0"/>
          <w:numId w:val="1"/>
        </w:numPr>
        <w:spacing w:after="0" w:line="0" w:lineRule="atLeast"/>
        <w:jc w:val="both"/>
        <w:rPr>
          <w:rFonts w:ascii="Arial" w:hAnsi="Arial" w:cs="Arial"/>
          <w:b/>
        </w:rPr>
      </w:pPr>
      <w:r w:rsidRPr="002E3787">
        <w:rPr>
          <w:rFonts w:ascii="Arial" w:hAnsi="Arial" w:cs="Arial"/>
          <w:sz w:val="20"/>
          <w:szCs w:val="20"/>
        </w:rPr>
        <w:t>201</w:t>
      </w:r>
      <w:r>
        <w:rPr>
          <w:rFonts w:ascii="Arial" w:hAnsi="Arial" w:cs="Arial"/>
          <w:sz w:val="20"/>
          <w:szCs w:val="20"/>
        </w:rPr>
        <w:t>9</w:t>
      </w:r>
      <w:r w:rsidRPr="002E3787">
        <w:rPr>
          <w:rFonts w:ascii="Arial" w:hAnsi="Arial" w:cs="Arial"/>
          <w:sz w:val="20"/>
          <w:szCs w:val="20"/>
        </w:rPr>
        <w:t xml:space="preserve"> </w:t>
      </w:r>
      <w:r>
        <w:rPr>
          <w:rFonts w:ascii="Arial" w:hAnsi="Arial" w:cs="Arial"/>
          <w:sz w:val="20"/>
          <w:szCs w:val="20"/>
        </w:rPr>
        <w:t>Nisan</w:t>
      </w:r>
      <w:r w:rsidRPr="002E3787">
        <w:rPr>
          <w:rFonts w:ascii="Arial" w:hAnsi="Arial" w:cs="Arial"/>
          <w:sz w:val="20"/>
          <w:szCs w:val="20"/>
        </w:rPr>
        <w:t xml:space="preserve"> ayında kurul</w:t>
      </w:r>
      <w:r>
        <w:rPr>
          <w:rFonts w:ascii="Arial" w:hAnsi="Arial" w:cs="Arial"/>
          <w:sz w:val="20"/>
          <w:szCs w:val="20"/>
        </w:rPr>
        <w:t>an 96</w:t>
      </w:r>
      <w:r w:rsidRPr="002E3787">
        <w:rPr>
          <w:rFonts w:ascii="Arial" w:hAnsi="Arial" w:cs="Arial"/>
          <w:sz w:val="20"/>
          <w:szCs w:val="20"/>
        </w:rPr>
        <w:t xml:space="preserve"> Kooperatifin </w:t>
      </w:r>
      <w:r>
        <w:rPr>
          <w:rFonts w:ascii="Arial" w:hAnsi="Arial" w:cs="Arial"/>
          <w:sz w:val="20"/>
          <w:szCs w:val="20"/>
        </w:rPr>
        <w:t>33</w:t>
      </w:r>
      <w:r w:rsidRPr="002E3787">
        <w:rPr>
          <w:rFonts w:ascii="Arial" w:hAnsi="Arial" w:cs="Arial"/>
          <w:sz w:val="20"/>
          <w:szCs w:val="20"/>
        </w:rPr>
        <w:t>’</w:t>
      </w:r>
      <w:r>
        <w:rPr>
          <w:rFonts w:ascii="Arial" w:hAnsi="Arial" w:cs="Arial"/>
          <w:sz w:val="20"/>
          <w:szCs w:val="20"/>
        </w:rPr>
        <w:t>ü</w:t>
      </w:r>
      <w:r w:rsidRPr="002E3787">
        <w:rPr>
          <w:rFonts w:ascii="Arial" w:hAnsi="Arial" w:cs="Arial"/>
          <w:sz w:val="20"/>
          <w:szCs w:val="20"/>
        </w:rPr>
        <w:t xml:space="preserve"> Konut Yapı Kooperatifi,</w:t>
      </w:r>
      <w:r>
        <w:rPr>
          <w:rFonts w:ascii="Arial" w:hAnsi="Arial" w:cs="Arial"/>
          <w:sz w:val="20"/>
          <w:szCs w:val="20"/>
        </w:rPr>
        <w:t xml:space="preserve"> 15’i </w:t>
      </w:r>
      <w:r w:rsidRPr="00465847">
        <w:rPr>
          <w:rFonts w:ascii="Arial" w:hAnsi="Arial" w:cs="Arial"/>
          <w:sz w:val="20"/>
          <w:szCs w:val="20"/>
        </w:rPr>
        <w:t>Tarımsal Kalkınma Kooperatifi</w:t>
      </w:r>
      <w:r>
        <w:rPr>
          <w:rFonts w:ascii="Arial" w:hAnsi="Arial" w:cs="Arial"/>
          <w:sz w:val="20"/>
          <w:szCs w:val="20"/>
        </w:rPr>
        <w:t xml:space="preserve"> 14’ü </w:t>
      </w:r>
      <w:r w:rsidRPr="004F23F6">
        <w:rPr>
          <w:rFonts w:ascii="Arial" w:hAnsi="Arial" w:cs="Arial"/>
          <w:sz w:val="20"/>
          <w:szCs w:val="20"/>
        </w:rPr>
        <w:t>İşletme Kooperatifi</w:t>
      </w:r>
      <w:r>
        <w:rPr>
          <w:rFonts w:ascii="Arial" w:hAnsi="Arial" w:cs="Arial"/>
          <w:sz w:val="20"/>
          <w:szCs w:val="20"/>
        </w:rPr>
        <w:t xml:space="preserve"> o</w:t>
      </w:r>
      <w:r w:rsidRPr="002E3787">
        <w:rPr>
          <w:rFonts w:ascii="Arial" w:hAnsi="Arial" w:cs="Arial"/>
          <w:sz w:val="20"/>
          <w:szCs w:val="20"/>
        </w:rPr>
        <w:t>larak kurulmuştur.</w:t>
      </w:r>
    </w:p>
    <w:p w:rsidR="0083541E" w:rsidRPr="00D67FE9" w:rsidRDefault="0083541E" w:rsidP="0083541E">
      <w:pPr>
        <w:pStyle w:val="ListeParagraf"/>
        <w:numPr>
          <w:ilvl w:val="0"/>
          <w:numId w:val="1"/>
        </w:numPr>
        <w:spacing w:after="0" w:line="0" w:lineRule="atLeast"/>
        <w:jc w:val="both"/>
        <w:rPr>
          <w:rFonts w:ascii="Arial" w:hAnsi="Arial" w:cs="Arial"/>
          <w:sz w:val="20"/>
          <w:szCs w:val="20"/>
        </w:rPr>
      </w:pPr>
      <w:r w:rsidRPr="00D67FE9">
        <w:rPr>
          <w:rFonts w:ascii="Arial" w:hAnsi="Arial" w:cs="Arial"/>
          <w:sz w:val="20"/>
          <w:szCs w:val="20"/>
        </w:rPr>
        <w:t>201</w:t>
      </w:r>
      <w:r>
        <w:rPr>
          <w:rFonts w:ascii="Arial" w:hAnsi="Arial" w:cs="Arial"/>
          <w:sz w:val="20"/>
          <w:szCs w:val="20"/>
        </w:rPr>
        <w:t>9</w:t>
      </w:r>
      <w:r w:rsidRPr="00D67FE9">
        <w:rPr>
          <w:rFonts w:ascii="Arial" w:hAnsi="Arial" w:cs="Arial"/>
          <w:sz w:val="20"/>
          <w:szCs w:val="20"/>
        </w:rPr>
        <w:t xml:space="preserve"> yıl</w:t>
      </w:r>
      <w:r>
        <w:rPr>
          <w:rFonts w:ascii="Arial" w:hAnsi="Arial" w:cs="Arial"/>
          <w:sz w:val="20"/>
          <w:szCs w:val="20"/>
        </w:rPr>
        <w:t xml:space="preserve">ında kurulan 357 </w:t>
      </w:r>
      <w:r w:rsidRPr="00D67FE9">
        <w:rPr>
          <w:rFonts w:ascii="Arial" w:hAnsi="Arial" w:cs="Arial"/>
          <w:sz w:val="20"/>
          <w:szCs w:val="20"/>
        </w:rPr>
        <w:t xml:space="preserve">kooperatifin </w:t>
      </w:r>
      <w:r>
        <w:rPr>
          <w:rFonts w:ascii="Arial" w:hAnsi="Arial" w:cs="Arial"/>
          <w:sz w:val="20"/>
          <w:szCs w:val="20"/>
        </w:rPr>
        <w:t>139’u Konut Yapı Kooperatifi, 56</w:t>
      </w:r>
      <w:r w:rsidRPr="00D67FE9">
        <w:rPr>
          <w:rFonts w:ascii="Arial" w:hAnsi="Arial" w:cs="Arial"/>
          <w:sz w:val="20"/>
          <w:szCs w:val="20"/>
        </w:rPr>
        <w:t>’</w:t>
      </w:r>
      <w:r>
        <w:rPr>
          <w:rFonts w:ascii="Arial" w:hAnsi="Arial" w:cs="Arial"/>
          <w:sz w:val="20"/>
          <w:szCs w:val="20"/>
        </w:rPr>
        <w:t>sı</w:t>
      </w:r>
      <w:r w:rsidRPr="00D67FE9">
        <w:rPr>
          <w:rFonts w:ascii="Arial" w:hAnsi="Arial" w:cs="Arial"/>
          <w:sz w:val="20"/>
          <w:szCs w:val="20"/>
        </w:rPr>
        <w:t xml:space="preserve"> Tarımsal Kalkınma Kooperatifi, </w:t>
      </w:r>
      <w:r>
        <w:rPr>
          <w:rFonts w:ascii="Arial" w:hAnsi="Arial" w:cs="Arial"/>
          <w:sz w:val="20"/>
          <w:szCs w:val="20"/>
        </w:rPr>
        <w:t>44</w:t>
      </w:r>
      <w:r w:rsidRPr="00D67FE9">
        <w:rPr>
          <w:rFonts w:ascii="Arial" w:hAnsi="Arial" w:cs="Arial"/>
          <w:sz w:val="20"/>
          <w:szCs w:val="20"/>
        </w:rPr>
        <w:t>’</w:t>
      </w:r>
      <w:r>
        <w:rPr>
          <w:rFonts w:ascii="Arial" w:hAnsi="Arial" w:cs="Arial"/>
          <w:sz w:val="20"/>
          <w:szCs w:val="20"/>
        </w:rPr>
        <w:t xml:space="preserve">ü </w:t>
      </w:r>
      <w:r w:rsidRPr="00811F6A">
        <w:rPr>
          <w:rFonts w:ascii="Arial" w:hAnsi="Arial" w:cs="Arial"/>
          <w:sz w:val="20"/>
          <w:szCs w:val="20"/>
        </w:rPr>
        <w:t>İşletme Kooperatifi</w:t>
      </w:r>
      <w:r w:rsidRPr="00D67FE9">
        <w:rPr>
          <w:rFonts w:ascii="Arial" w:hAnsi="Arial" w:cs="Arial"/>
          <w:sz w:val="20"/>
          <w:szCs w:val="20"/>
        </w:rPr>
        <w:t xml:space="preserve"> olarak kurulmuştur.</w:t>
      </w:r>
    </w:p>
    <w:p w:rsidR="0083541E" w:rsidRPr="002E3787" w:rsidRDefault="0083541E" w:rsidP="0083541E">
      <w:pPr>
        <w:pStyle w:val="ListeParagraf"/>
        <w:spacing w:after="0" w:line="0" w:lineRule="atLeast"/>
        <w:ind w:left="360"/>
        <w:jc w:val="both"/>
        <w:rPr>
          <w:rFonts w:ascii="Arial" w:hAnsi="Arial" w:cs="Arial"/>
          <w:b/>
        </w:rPr>
      </w:pPr>
    </w:p>
    <w:p w:rsidR="0083541E" w:rsidRDefault="0083541E" w:rsidP="0083541E">
      <w:pPr>
        <w:pStyle w:val="ListeParagraf"/>
        <w:spacing w:after="0" w:line="0" w:lineRule="atLeast"/>
        <w:jc w:val="both"/>
        <w:rPr>
          <w:rFonts w:ascii="Arial" w:hAnsi="Arial" w:cs="Arial"/>
          <w:b/>
          <w:color w:val="FF0000"/>
        </w:rPr>
      </w:pPr>
    </w:p>
    <w:p w:rsidR="0083541E" w:rsidRDefault="0083541E" w:rsidP="0083541E">
      <w:pPr>
        <w:pStyle w:val="ListeParagraf"/>
        <w:spacing w:after="0" w:line="0" w:lineRule="atLeast"/>
        <w:ind w:left="0"/>
        <w:jc w:val="both"/>
        <w:rPr>
          <w:rFonts w:ascii="Arial" w:hAnsi="Arial" w:cs="Arial"/>
          <w:b/>
        </w:rPr>
      </w:pPr>
      <w:r>
        <w:rPr>
          <w:rFonts w:ascii="Arial" w:hAnsi="Arial" w:cs="Arial"/>
          <w:b/>
        </w:rPr>
        <w:t xml:space="preserve"> 2019</w:t>
      </w:r>
      <w:r w:rsidRPr="00E153AC">
        <w:rPr>
          <w:rFonts w:ascii="Arial" w:hAnsi="Arial" w:cs="Arial"/>
          <w:b/>
        </w:rPr>
        <w:t xml:space="preserve"> </w:t>
      </w:r>
      <w:r>
        <w:rPr>
          <w:rFonts w:ascii="Arial" w:hAnsi="Arial" w:cs="Arial"/>
          <w:b/>
        </w:rPr>
        <w:t xml:space="preserve">yılı Nisan </w:t>
      </w:r>
      <w:r w:rsidRPr="00E153AC">
        <w:rPr>
          <w:rFonts w:ascii="Arial" w:hAnsi="Arial" w:cs="Arial"/>
          <w:b/>
        </w:rPr>
        <w:t xml:space="preserve">ayında </w:t>
      </w:r>
      <w:r>
        <w:rPr>
          <w:rFonts w:ascii="Arial" w:hAnsi="Arial" w:cs="Arial"/>
          <w:b/>
        </w:rPr>
        <w:t>1.098</w:t>
      </w:r>
      <w:r w:rsidRPr="00E153AC">
        <w:rPr>
          <w:rFonts w:ascii="Arial" w:hAnsi="Arial" w:cs="Arial"/>
          <w:b/>
        </w:rPr>
        <w:t xml:space="preserve"> adet yabancı ortak sermayeli şirket kuruldu.</w:t>
      </w:r>
      <w:r w:rsidRPr="0085287A">
        <w:rPr>
          <w:rFonts w:ascii="Arial" w:hAnsi="Arial" w:cs="Arial"/>
          <w:b/>
        </w:rPr>
        <w:t xml:space="preserve"> </w:t>
      </w:r>
    </w:p>
    <w:p w:rsidR="0083541E" w:rsidRPr="0085287A" w:rsidRDefault="0083541E" w:rsidP="0083541E">
      <w:pPr>
        <w:pStyle w:val="ListeParagraf"/>
        <w:spacing w:after="0" w:line="0" w:lineRule="atLeast"/>
        <w:ind w:left="0"/>
        <w:jc w:val="both"/>
        <w:rPr>
          <w:rFonts w:ascii="Arial" w:hAnsi="Arial" w:cs="Arial"/>
          <w:b/>
        </w:rPr>
      </w:pPr>
    </w:p>
    <w:p w:rsidR="0083541E" w:rsidRDefault="0083541E" w:rsidP="0083541E">
      <w:pPr>
        <w:pStyle w:val="ListeParagraf"/>
        <w:numPr>
          <w:ilvl w:val="0"/>
          <w:numId w:val="1"/>
        </w:numPr>
        <w:spacing w:after="0" w:line="0" w:lineRule="atLeast"/>
        <w:ind w:left="709"/>
        <w:jc w:val="both"/>
        <w:rPr>
          <w:rFonts w:ascii="Arial" w:hAnsi="Arial" w:cs="Arial"/>
          <w:sz w:val="20"/>
          <w:szCs w:val="20"/>
        </w:rPr>
      </w:pPr>
      <w:r>
        <w:rPr>
          <w:rFonts w:ascii="Arial" w:hAnsi="Arial" w:cs="Arial"/>
          <w:sz w:val="20"/>
          <w:szCs w:val="20"/>
        </w:rPr>
        <w:t>2019 yılı Nisan</w:t>
      </w:r>
      <w:r w:rsidRPr="0085287A">
        <w:rPr>
          <w:rFonts w:ascii="Arial" w:hAnsi="Arial" w:cs="Arial"/>
          <w:sz w:val="20"/>
          <w:szCs w:val="20"/>
        </w:rPr>
        <w:t xml:space="preserve"> ayında kurulan </w:t>
      </w:r>
      <w:r>
        <w:rPr>
          <w:rFonts w:ascii="Arial" w:hAnsi="Arial" w:cs="Arial"/>
          <w:sz w:val="20"/>
          <w:szCs w:val="20"/>
        </w:rPr>
        <w:t>1.098</w:t>
      </w:r>
      <w:r w:rsidRPr="0085287A">
        <w:rPr>
          <w:rFonts w:ascii="Arial" w:hAnsi="Arial" w:cs="Arial"/>
          <w:sz w:val="20"/>
          <w:szCs w:val="20"/>
        </w:rPr>
        <w:t xml:space="preserve"> yabancı ortak sermayeli şirketin </w:t>
      </w:r>
      <w:r>
        <w:rPr>
          <w:rFonts w:ascii="Arial" w:hAnsi="Arial" w:cs="Arial"/>
          <w:sz w:val="20"/>
          <w:szCs w:val="20"/>
        </w:rPr>
        <w:t>592’si</w:t>
      </w:r>
      <w:r w:rsidRPr="0085287A">
        <w:rPr>
          <w:rFonts w:ascii="Arial" w:hAnsi="Arial" w:cs="Arial"/>
          <w:sz w:val="20"/>
          <w:szCs w:val="20"/>
        </w:rPr>
        <w:t xml:space="preserve"> </w:t>
      </w:r>
      <w:r>
        <w:rPr>
          <w:rFonts w:ascii="Arial" w:hAnsi="Arial" w:cs="Arial"/>
          <w:sz w:val="20"/>
          <w:szCs w:val="20"/>
        </w:rPr>
        <w:t xml:space="preserve">Türkiye, 73’ü İran, 72’si Suriye ortaklı olarak kurulmuştur. </w:t>
      </w:r>
    </w:p>
    <w:p w:rsidR="0083541E" w:rsidRDefault="0083541E" w:rsidP="0083541E">
      <w:pPr>
        <w:pStyle w:val="ListeParagraf"/>
        <w:spacing w:after="0" w:line="0" w:lineRule="atLeast"/>
        <w:ind w:left="709"/>
        <w:jc w:val="both"/>
        <w:rPr>
          <w:rFonts w:ascii="Arial" w:hAnsi="Arial" w:cs="Arial"/>
          <w:sz w:val="20"/>
          <w:szCs w:val="20"/>
        </w:rPr>
      </w:pPr>
    </w:p>
    <w:p w:rsidR="0083541E" w:rsidRDefault="0083541E" w:rsidP="0083541E">
      <w:pPr>
        <w:pStyle w:val="ListeParagraf"/>
        <w:numPr>
          <w:ilvl w:val="0"/>
          <w:numId w:val="1"/>
        </w:numPr>
        <w:spacing w:line="0" w:lineRule="atLeast"/>
        <w:jc w:val="both"/>
        <w:rPr>
          <w:rFonts w:ascii="Arial" w:hAnsi="Arial" w:cs="Arial"/>
          <w:sz w:val="20"/>
          <w:szCs w:val="20"/>
        </w:rPr>
      </w:pPr>
      <w:r w:rsidRPr="00D247D4">
        <w:rPr>
          <w:rFonts w:ascii="Arial" w:hAnsi="Arial" w:cs="Arial"/>
          <w:sz w:val="20"/>
          <w:szCs w:val="20"/>
        </w:rPr>
        <w:t xml:space="preserve">Kurulan </w:t>
      </w:r>
      <w:r>
        <w:rPr>
          <w:rFonts w:ascii="Arial" w:hAnsi="Arial" w:cs="Arial"/>
          <w:sz w:val="20"/>
          <w:szCs w:val="20"/>
        </w:rPr>
        <w:t>1.098</w:t>
      </w:r>
      <w:r w:rsidRPr="00D247D4">
        <w:rPr>
          <w:rFonts w:ascii="Arial" w:hAnsi="Arial" w:cs="Arial"/>
          <w:sz w:val="20"/>
          <w:szCs w:val="20"/>
        </w:rPr>
        <w:t xml:space="preserve"> yabancı ortak sermayeli şirketin </w:t>
      </w:r>
      <w:r>
        <w:rPr>
          <w:rFonts w:ascii="Arial" w:hAnsi="Arial" w:cs="Arial"/>
          <w:sz w:val="20"/>
          <w:szCs w:val="20"/>
        </w:rPr>
        <w:t xml:space="preserve">102’si </w:t>
      </w:r>
      <w:r w:rsidRPr="00D247D4">
        <w:rPr>
          <w:rFonts w:ascii="Arial" w:hAnsi="Arial" w:cs="Arial"/>
          <w:sz w:val="20"/>
          <w:szCs w:val="20"/>
        </w:rPr>
        <w:t xml:space="preserve">anonim, </w:t>
      </w:r>
      <w:r>
        <w:rPr>
          <w:rFonts w:ascii="Arial" w:hAnsi="Arial" w:cs="Arial"/>
          <w:sz w:val="20"/>
          <w:szCs w:val="20"/>
        </w:rPr>
        <w:t xml:space="preserve">996’sı </w:t>
      </w:r>
      <w:proofErr w:type="spellStart"/>
      <w:r w:rsidRPr="00D247D4">
        <w:rPr>
          <w:rFonts w:ascii="Arial" w:hAnsi="Arial" w:cs="Arial"/>
          <w:sz w:val="20"/>
          <w:szCs w:val="20"/>
        </w:rPr>
        <w:t>limited</w:t>
      </w:r>
      <w:proofErr w:type="spellEnd"/>
      <w:r w:rsidRPr="00D247D4">
        <w:rPr>
          <w:rFonts w:ascii="Arial" w:hAnsi="Arial" w:cs="Arial"/>
          <w:sz w:val="20"/>
          <w:szCs w:val="20"/>
        </w:rPr>
        <w:t xml:space="preserve"> şirkettir. </w:t>
      </w:r>
      <w:r>
        <w:rPr>
          <w:rFonts w:ascii="Arial" w:hAnsi="Arial" w:cs="Arial"/>
          <w:sz w:val="20"/>
          <w:szCs w:val="20"/>
        </w:rPr>
        <w:t xml:space="preserve">2019 yılında kurulan </w:t>
      </w:r>
      <w:r w:rsidRPr="00D247D4">
        <w:rPr>
          <w:rFonts w:ascii="Arial" w:hAnsi="Arial" w:cs="Arial"/>
          <w:sz w:val="20"/>
          <w:szCs w:val="20"/>
        </w:rPr>
        <w:t xml:space="preserve">şirketlerin </w:t>
      </w:r>
      <w:r>
        <w:rPr>
          <w:rFonts w:ascii="Arial" w:hAnsi="Arial" w:cs="Arial"/>
          <w:sz w:val="20"/>
          <w:szCs w:val="20"/>
        </w:rPr>
        <w:t>562’si</w:t>
      </w:r>
      <w:r w:rsidRPr="00D247D4">
        <w:rPr>
          <w:rFonts w:ascii="Arial" w:hAnsi="Arial" w:cs="Arial"/>
          <w:sz w:val="20"/>
          <w:szCs w:val="20"/>
        </w:rPr>
        <w:t xml:space="preserve"> </w:t>
      </w:r>
      <w:r w:rsidRPr="00E13173">
        <w:rPr>
          <w:rFonts w:ascii="Arial" w:hAnsi="Arial" w:cs="Arial"/>
          <w:sz w:val="20"/>
          <w:szCs w:val="20"/>
        </w:rPr>
        <w:t>Belirli bir mala tahsis edilmemiş mağazalardaki toptan ticaret</w:t>
      </w:r>
      <w:r>
        <w:rPr>
          <w:rFonts w:ascii="Arial" w:hAnsi="Arial" w:cs="Arial"/>
          <w:sz w:val="20"/>
          <w:szCs w:val="20"/>
        </w:rPr>
        <w:t>,</w:t>
      </w:r>
      <w:r w:rsidRPr="00D247D4">
        <w:rPr>
          <w:rFonts w:ascii="Arial" w:hAnsi="Arial" w:cs="Arial"/>
          <w:sz w:val="20"/>
          <w:szCs w:val="20"/>
        </w:rPr>
        <w:t xml:space="preserve"> </w:t>
      </w:r>
      <w:r>
        <w:rPr>
          <w:rFonts w:ascii="Arial" w:hAnsi="Arial" w:cs="Arial"/>
          <w:sz w:val="20"/>
          <w:szCs w:val="20"/>
        </w:rPr>
        <w:lastRenderedPageBreak/>
        <w:t>319’u</w:t>
      </w:r>
      <w:r w:rsidRPr="00D247D4">
        <w:rPr>
          <w:rFonts w:ascii="Arial" w:hAnsi="Arial" w:cs="Arial"/>
          <w:sz w:val="20"/>
          <w:szCs w:val="20"/>
        </w:rPr>
        <w:t xml:space="preserve"> </w:t>
      </w:r>
      <w:r w:rsidRPr="00E13173">
        <w:rPr>
          <w:rFonts w:ascii="Arial" w:hAnsi="Arial" w:cs="Arial"/>
          <w:sz w:val="20"/>
          <w:szCs w:val="20"/>
        </w:rPr>
        <w:t>Gayrimenkul acenteleri</w:t>
      </w:r>
      <w:r>
        <w:rPr>
          <w:rFonts w:ascii="Arial" w:hAnsi="Arial" w:cs="Arial"/>
          <w:sz w:val="20"/>
          <w:szCs w:val="20"/>
        </w:rPr>
        <w:t xml:space="preserve">, 234’ü </w:t>
      </w:r>
      <w:r w:rsidRPr="004775C5">
        <w:rPr>
          <w:rFonts w:ascii="Arial" w:hAnsi="Arial" w:cs="Arial"/>
          <w:sz w:val="20"/>
          <w:szCs w:val="20"/>
        </w:rPr>
        <w:t xml:space="preserve">Lokantalar ve seyyar yemek hizmeti faaliyetleri </w:t>
      </w:r>
      <w:r w:rsidRPr="00D247D4">
        <w:rPr>
          <w:rFonts w:ascii="Arial" w:hAnsi="Arial" w:cs="Arial"/>
          <w:sz w:val="20"/>
          <w:szCs w:val="20"/>
        </w:rPr>
        <w:t>sektöründe kurulmuştur.</w:t>
      </w:r>
    </w:p>
    <w:p w:rsidR="0083541E" w:rsidRDefault="0083541E" w:rsidP="0083541E">
      <w:pPr>
        <w:pStyle w:val="ListeParagraf"/>
        <w:rPr>
          <w:rFonts w:ascii="Arial" w:hAnsi="Arial" w:cs="Arial"/>
          <w:sz w:val="20"/>
          <w:szCs w:val="20"/>
        </w:rPr>
      </w:pPr>
    </w:p>
    <w:p w:rsidR="0083541E" w:rsidRDefault="0083541E" w:rsidP="0083541E">
      <w:pPr>
        <w:pStyle w:val="ListeParagraf"/>
        <w:numPr>
          <w:ilvl w:val="0"/>
          <w:numId w:val="1"/>
        </w:numPr>
        <w:spacing w:line="0" w:lineRule="atLeast"/>
        <w:ind w:left="709"/>
        <w:jc w:val="both"/>
        <w:rPr>
          <w:rFonts w:ascii="Arial" w:hAnsi="Arial" w:cs="Arial"/>
          <w:sz w:val="20"/>
          <w:szCs w:val="20"/>
        </w:rPr>
      </w:pPr>
      <w:r w:rsidRPr="00D247D4">
        <w:rPr>
          <w:rFonts w:ascii="Arial" w:hAnsi="Arial" w:cs="Arial"/>
          <w:sz w:val="20"/>
          <w:szCs w:val="20"/>
        </w:rPr>
        <w:t>Kurulan yabancı ortak sermayeli şirketle</w:t>
      </w:r>
      <w:r>
        <w:rPr>
          <w:rFonts w:ascii="Arial" w:hAnsi="Arial" w:cs="Arial"/>
          <w:sz w:val="20"/>
          <w:szCs w:val="20"/>
        </w:rPr>
        <w:t xml:space="preserve">rin toplam sermayelerinin % 82,70’sini </w:t>
      </w:r>
      <w:r w:rsidRPr="00D247D4">
        <w:rPr>
          <w:rFonts w:ascii="Arial" w:hAnsi="Arial" w:cs="Arial"/>
          <w:sz w:val="20"/>
          <w:szCs w:val="20"/>
        </w:rPr>
        <w:t>yabancı sermayeli ortak payı</w:t>
      </w:r>
      <w:r>
        <w:rPr>
          <w:rFonts w:ascii="Arial" w:hAnsi="Arial" w:cs="Arial"/>
          <w:sz w:val="20"/>
          <w:szCs w:val="20"/>
        </w:rPr>
        <w:t>nı</w:t>
      </w:r>
      <w:r w:rsidRPr="00D247D4">
        <w:rPr>
          <w:rFonts w:ascii="Arial" w:hAnsi="Arial" w:cs="Arial"/>
          <w:sz w:val="20"/>
          <w:szCs w:val="20"/>
        </w:rPr>
        <w:t xml:space="preserve"> oluşturmaktadır.</w:t>
      </w:r>
    </w:p>
    <w:p w:rsidR="0083541E" w:rsidRPr="00D247D4" w:rsidRDefault="0083541E" w:rsidP="0083541E">
      <w:pPr>
        <w:pStyle w:val="ListeParagraf"/>
        <w:spacing w:line="0" w:lineRule="atLeast"/>
        <w:ind w:left="709"/>
        <w:jc w:val="both"/>
        <w:rPr>
          <w:rFonts w:ascii="Arial" w:hAnsi="Arial" w:cs="Arial"/>
          <w:sz w:val="20"/>
          <w:szCs w:val="20"/>
        </w:rPr>
      </w:pPr>
    </w:p>
    <w:tbl>
      <w:tblPr>
        <w:tblW w:w="9498" w:type="dxa"/>
        <w:tblInd w:w="-34" w:type="dxa"/>
        <w:tblLayout w:type="fixed"/>
        <w:tblLook w:val="04A0" w:firstRow="1" w:lastRow="0" w:firstColumn="1" w:lastColumn="0" w:noHBand="0" w:noVBand="1"/>
      </w:tblPr>
      <w:tblGrid>
        <w:gridCol w:w="1020"/>
        <w:gridCol w:w="4190"/>
        <w:gridCol w:w="1413"/>
        <w:gridCol w:w="1414"/>
        <w:gridCol w:w="1461"/>
      </w:tblGrid>
      <w:tr w:rsidR="0083541E" w:rsidRPr="004B27A7" w:rsidTr="00954A74">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3541E" w:rsidRPr="004B27A7" w:rsidRDefault="0083541E" w:rsidP="00954A74">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1413" w:type="dxa"/>
            <w:tcBorders>
              <w:top w:val="single" w:sz="4" w:space="0" w:color="auto"/>
              <w:left w:val="nil"/>
              <w:bottom w:val="single" w:sz="4" w:space="0" w:color="auto"/>
              <w:right w:val="single" w:sz="4" w:space="0" w:color="000000"/>
            </w:tcBorders>
            <w:shd w:val="clear" w:color="000000" w:fill="D8D8D8"/>
            <w:noWrap/>
            <w:vAlign w:val="bottom"/>
            <w:hideMark/>
          </w:tcPr>
          <w:p w:rsidR="0083541E" w:rsidRPr="004B27A7" w:rsidRDefault="0083541E" w:rsidP="00954A74">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1414" w:type="dxa"/>
            <w:tcBorders>
              <w:top w:val="single" w:sz="4" w:space="0" w:color="auto"/>
              <w:left w:val="nil"/>
              <w:bottom w:val="single" w:sz="4" w:space="0" w:color="auto"/>
              <w:right w:val="single" w:sz="4" w:space="0" w:color="000000"/>
            </w:tcBorders>
            <w:shd w:val="clear" w:color="000000" w:fill="D8D8D8"/>
            <w:noWrap/>
            <w:vAlign w:val="bottom"/>
            <w:hideMark/>
          </w:tcPr>
          <w:p w:rsidR="0083541E" w:rsidRPr="004B27A7" w:rsidRDefault="0083541E" w:rsidP="00954A74">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1461" w:type="dxa"/>
            <w:tcBorders>
              <w:top w:val="single" w:sz="4" w:space="0" w:color="auto"/>
              <w:left w:val="nil"/>
              <w:bottom w:val="single" w:sz="4" w:space="0" w:color="auto"/>
              <w:right w:val="single" w:sz="4" w:space="0" w:color="000000"/>
            </w:tcBorders>
            <w:shd w:val="clear" w:color="000000" w:fill="D8D8D8"/>
            <w:noWrap/>
            <w:vAlign w:val="bottom"/>
            <w:hideMark/>
          </w:tcPr>
          <w:p w:rsidR="0083541E" w:rsidRPr="004B27A7" w:rsidRDefault="0083541E" w:rsidP="00954A74">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83541E" w:rsidRPr="004B27A7" w:rsidTr="00954A74">
        <w:trPr>
          <w:trHeight w:val="301"/>
        </w:trPr>
        <w:tc>
          <w:tcPr>
            <w:tcW w:w="1020" w:type="dxa"/>
            <w:vMerge w:val="restart"/>
            <w:tcBorders>
              <w:top w:val="nil"/>
              <w:left w:val="single" w:sz="4" w:space="0" w:color="auto"/>
              <w:right w:val="single" w:sz="4" w:space="0" w:color="auto"/>
            </w:tcBorders>
            <w:shd w:val="clear" w:color="auto" w:fill="E7E6E6"/>
            <w:vAlign w:val="center"/>
          </w:tcPr>
          <w:p w:rsidR="0083541E" w:rsidRDefault="0083541E" w:rsidP="00954A74">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ŞUBAT</w:t>
            </w:r>
          </w:p>
          <w:p w:rsidR="0083541E" w:rsidRPr="004B27A7" w:rsidRDefault="0083541E" w:rsidP="00954A7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2019</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106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929</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1.035</w:t>
            </w:r>
          </w:p>
        </w:tc>
      </w:tr>
      <w:tr w:rsidR="0083541E" w:rsidRPr="004B27A7" w:rsidTr="00954A74">
        <w:trPr>
          <w:trHeight w:val="301"/>
        </w:trPr>
        <w:tc>
          <w:tcPr>
            <w:tcW w:w="1020" w:type="dxa"/>
            <w:vMerge/>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34.925.000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245.169.200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280.094.200</w:t>
            </w:r>
          </w:p>
        </w:tc>
      </w:tr>
      <w:tr w:rsidR="0083541E" w:rsidRPr="004B27A7" w:rsidTr="00954A74">
        <w:trPr>
          <w:trHeight w:val="301"/>
        </w:trPr>
        <w:tc>
          <w:tcPr>
            <w:tcW w:w="1020" w:type="dxa"/>
            <w:vMerge/>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29.144.300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247.888.865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277.033.165</w:t>
            </w:r>
          </w:p>
        </w:tc>
      </w:tr>
      <w:tr w:rsidR="0083541E" w:rsidRPr="004B27A7" w:rsidTr="00954A74">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83,45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101,11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98,91</w:t>
            </w:r>
          </w:p>
        </w:tc>
      </w:tr>
      <w:tr w:rsidR="0083541E" w:rsidRPr="004B27A7" w:rsidTr="00954A74">
        <w:trPr>
          <w:trHeight w:val="301"/>
        </w:trPr>
        <w:tc>
          <w:tcPr>
            <w:tcW w:w="1020"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MART 2019</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989</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1.082</w:t>
            </w:r>
          </w:p>
        </w:tc>
      </w:tr>
      <w:tr w:rsidR="0083541E" w:rsidRPr="004B27A7" w:rsidTr="00954A74">
        <w:trPr>
          <w:trHeight w:val="301"/>
        </w:trPr>
        <w:tc>
          <w:tcPr>
            <w:tcW w:w="1020" w:type="dxa"/>
            <w:vMerge/>
            <w:tcBorders>
              <w:top w:val="single" w:sz="4" w:space="0" w:color="auto"/>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57.338.400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318.765.000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376.103.400</w:t>
            </w:r>
          </w:p>
        </w:tc>
      </w:tr>
      <w:tr w:rsidR="0083541E" w:rsidRPr="004B27A7" w:rsidTr="00954A74">
        <w:trPr>
          <w:trHeight w:val="301"/>
        </w:trPr>
        <w:tc>
          <w:tcPr>
            <w:tcW w:w="1020" w:type="dxa"/>
            <w:vMerge/>
            <w:tcBorders>
              <w:top w:val="single" w:sz="4" w:space="0" w:color="auto"/>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32.328.150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256.921.275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289.249.425</w:t>
            </w:r>
          </w:p>
        </w:tc>
      </w:tr>
      <w:tr w:rsidR="0083541E" w:rsidRPr="004B27A7" w:rsidTr="00954A74">
        <w:trPr>
          <w:trHeight w:val="301"/>
        </w:trPr>
        <w:tc>
          <w:tcPr>
            <w:tcW w:w="1020" w:type="dxa"/>
            <w:vMerge/>
            <w:tcBorders>
              <w:top w:val="single" w:sz="4" w:space="0" w:color="auto"/>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56,38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80,60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76,91</w:t>
            </w:r>
          </w:p>
        </w:tc>
      </w:tr>
      <w:tr w:rsidR="0083541E" w:rsidRPr="00D65923" w:rsidTr="00954A74">
        <w:trPr>
          <w:trHeight w:val="301"/>
        </w:trPr>
        <w:tc>
          <w:tcPr>
            <w:tcW w:w="1020" w:type="dxa"/>
            <w:vMerge w:val="restart"/>
            <w:tcBorders>
              <w:top w:val="single" w:sz="4" w:space="0" w:color="auto"/>
              <w:left w:val="single" w:sz="4" w:space="0" w:color="auto"/>
              <w:right w:val="single" w:sz="4" w:space="0" w:color="auto"/>
            </w:tcBorders>
            <w:shd w:val="clear" w:color="auto" w:fill="E7E6E6"/>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NİSAN 2019</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102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996</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1.098</w:t>
            </w:r>
          </w:p>
        </w:tc>
      </w:tr>
      <w:tr w:rsidR="0083541E" w:rsidRPr="004B27A7" w:rsidTr="00954A74">
        <w:trPr>
          <w:trHeight w:val="301"/>
        </w:trPr>
        <w:tc>
          <w:tcPr>
            <w:tcW w:w="1020" w:type="dxa"/>
            <w:vMerge/>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43.676.219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232.741.000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276.417.219</w:t>
            </w:r>
          </w:p>
        </w:tc>
      </w:tr>
      <w:tr w:rsidR="0083541E" w:rsidRPr="004B27A7" w:rsidTr="00954A74">
        <w:trPr>
          <w:trHeight w:val="301"/>
        </w:trPr>
        <w:tc>
          <w:tcPr>
            <w:tcW w:w="1020" w:type="dxa"/>
            <w:vMerge/>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27.049.038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192.328.900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219.377.938</w:t>
            </w:r>
          </w:p>
        </w:tc>
      </w:tr>
      <w:tr w:rsidR="0083541E" w:rsidRPr="004B27A7" w:rsidTr="00954A74">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4B27A7" w:rsidRDefault="0083541E" w:rsidP="00954A7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61,93</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82,64</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Default="0083541E" w:rsidP="00954A74">
            <w:pPr>
              <w:spacing w:after="0" w:line="240" w:lineRule="auto"/>
              <w:jc w:val="right"/>
              <w:rPr>
                <w:rFonts w:ascii="Arial" w:hAnsi="Arial" w:cs="Arial"/>
                <w:color w:val="000000"/>
                <w:sz w:val="16"/>
                <w:szCs w:val="16"/>
              </w:rPr>
            </w:pPr>
            <w:r>
              <w:rPr>
                <w:rFonts w:ascii="Arial" w:hAnsi="Arial" w:cs="Arial"/>
                <w:color w:val="000000"/>
                <w:sz w:val="16"/>
                <w:szCs w:val="16"/>
              </w:rPr>
              <w:t>79,36</w:t>
            </w:r>
          </w:p>
        </w:tc>
      </w:tr>
      <w:tr w:rsidR="0083541E" w:rsidRPr="004B27A7" w:rsidTr="00954A74">
        <w:trPr>
          <w:trHeight w:val="301"/>
        </w:trPr>
        <w:tc>
          <w:tcPr>
            <w:tcW w:w="1020" w:type="dxa"/>
            <w:vMerge w:val="restart"/>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AE26B9" w:rsidRDefault="0083541E" w:rsidP="00954A74">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415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4.013</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4.428</w:t>
            </w:r>
          </w:p>
        </w:tc>
      </w:tr>
      <w:tr w:rsidR="0083541E" w:rsidRPr="004B27A7" w:rsidTr="00954A74">
        <w:trPr>
          <w:trHeight w:val="301"/>
        </w:trPr>
        <w:tc>
          <w:tcPr>
            <w:tcW w:w="1020" w:type="dxa"/>
            <w:vMerge/>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AE26B9" w:rsidRDefault="0083541E" w:rsidP="00954A74">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182.780.264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1.077.798.700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1.260.578.964</w:t>
            </w:r>
          </w:p>
        </w:tc>
      </w:tr>
      <w:tr w:rsidR="0083541E" w:rsidRPr="004B27A7" w:rsidTr="00954A74">
        <w:trPr>
          <w:trHeight w:val="301"/>
        </w:trPr>
        <w:tc>
          <w:tcPr>
            <w:tcW w:w="1020" w:type="dxa"/>
            <w:vMerge/>
            <w:tcBorders>
              <w:left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AE26B9" w:rsidRDefault="0083541E" w:rsidP="00954A74">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127.844.332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914.595.740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1.042.440.072</w:t>
            </w:r>
          </w:p>
        </w:tc>
      </w:tr>
      <w:tr w:rsidR="0083541E" w:rsidRPr="004B27A7" w:rsidTr="00954A74">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83541E" w:rsidRPr="004B27A7" w:rsidRDefault="0083541E" w:rsidP="00954A74">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83541E" w:rsidRPr="00AE26B9" w:rsidRDefault="0083541E" w:rsidP="00954A74">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69,94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Pr>
                <w:rFonts w:ascii="Arial" w:hAnsi="Arial" w:cs="Arial"/>
                <w:b/>
                <w:color w:val="000000"/>
                <w:sz w:val="16"/>
                <w:szCs w:val="16"/>
              </w:rPr>
              <w:t>84,92</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83541E" w:rsidRPr="00D65923" w:rsidRDefault="0083541E" w:rsidP="00954A74">
            <w:pPr>
              <w:spacing w:after="0" w:line="240" w:lineRule="auto"/>
              <w:jc w:val="right"/>
              <w:rPr>
                <w:rFonts w:ascii="Arial" w:hAnsi="Arial" w:cs="Arial"/>
                <w:b/>
                <w:color w:val="000000"/>
                <w:sz w:val="16"/>
                <w:szCs w:val="16"/>
              </w:rPr>
            </w:pPr>
            <w:r w:rsidRPr="00D65923">
              <w:rPr>
                <w:rFonts w:ascii="Arial" w:hAnsi="Arial" w:cs="Arial"/>
                <w:b/>
                <w:color w:val="000000"/>
                <w:sz w:val="16"/>
                <w:szCs w:val="16"/>
              </w:rPr>
              <w:t>82,70</w:t>
            </w:r>
          </w:p>
        </w:tc>
      </w:tr>
    </w:tbl>
    <w:p w:rsidR="0083541E" w:rsidRDefault="0083541E" w:rsidP="0083541E">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83541E" w:rsidRDefault="0083541E" w:rsidP="0083541E">
      <w:pPr>
        <w:rPr>
          <w:rFonts w:ascii="Arial" w:hAnsi="Arial" w:cs="Arial"/>
          <w:b/>
          <w:color w:val="000000"/>
          <w:sz w:val="16"/>
          <w:szCs w:val="16"/>
        </w:rPr>
      </w:pPr>
    </w:p>
    <w:p w:rsidR="0083541E" w:rsidRDefault="0083541E" w:rsidP="00833A80">
      <w:pPr>
        <w:jc w:val="center"/>
        <w:rPr>
          <w:rFonts w:ascii="Times New Roman" w:hAnsi="Times New Roman" w:cs="Times New Roman"/>
          <w:b/>
          <w:color w:val="1F4E79" w:themeColor="accent1" w:themeShade="80"/>
          <w:sz w:val="32"/>
          <w:szCs w:val="32"/>
        </w:rPr>
      </w:pPr>
      <w:r w:rsidRPr="00E02FBB">
        <w:rPr>
          <w:noProof/>
        </w:rPr>
        <w:drawing>
          <wp:inline distT="0" distB="0" distL="0" distR="0">
            <wp:extent cx="5760720" cy="2366367"/>
            <wp:effectExtent l="0" t="0" r="11430" b="15240"/>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541E" w:rsidRDefault="0083541E" w:rsidP="0083541E">
      <w:pPr>
        <w:spacing w:after="0"/>
        <w:rPr>
          <w:rFonts w:ascii="Times New Roman" w:hAnsi="Times New Roman" w:cs="Times New Roman"/>
          <w:b/>
          <w:color w:val="1F4E79" w:themeColor="accent1" w:themeShade="80"/>
          <w:sz w:val="32"/>
          <w:szCs w:val="32"/>
        </w:rPr>
      </w:pPr>
      <w:r w:rsidRPr="00E02FBB">
        <w:rPr>
          <w:noProof/>
        </w:rPr>
        <w:lastRenderedPageBreak/>
        <w:drawing>
          <wp:inline distT="0" distB="0" distL="0" distR="0">
            <wp:extent cx="5760720" cy="2467321"/>
            <wp:effectExtent l="0" t="0" r="11430" b="9525"/>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F001DF">
        <w:rPr>
          <w:rFonts w:ascii="Arial" w:hAnsi="Arial" w:cs="Arial"/>
          <w:noProof/>
          <w:szCs w:val="20"/>
        </w:rPr>
        <w:drawing>
          <wp:inline distT="0" distB="0" distL="0" distR="0">
            <wp:extent cx="5760720" cy="343924"/>
            <wp:effectExtent l="0" t="0" r="0" b="0"/>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24">
                      <a:extLst>
                        <a:ext uri="{28A0092B-C50C-407E-A947-70E740481C1C}">
                          <a14:useLocalDpi xmlns:a14="http://schemas.microsoft.com/office/drawing/2010/main" val="0"/>
                        </a:ext>
                      </a:extLst>
                    </a:blip>
                    <a:srcRect t="90915" b="-182"/>
                    <a:stretch>
                      <a:fillRect/>
                    </a:stretch>
                  </pic:blipFill>
                  <pic:spPr bwMode="auto">
                    <a:xfrm>
                      <a:off x="0" y="0"/>
                      <a:ext cx="5760720" cy="343924"/>
                    </a:xfrm>
                    <a:prstGeom prst="rect">
                      <a:avLst/>
                    </a:prstGeom>
                    <a:noFill/>
                    <a:ln>
                      <a:noFill/>
                    </a:ln>
                  </pic:spPr>
                </pic:pic>
              </a:graphicData>
            </a:graphic>
          </wp:inline>
        </w:drawing>
      </w:r>
    </w:p>
    <w:p w:rsidR="0034255A" w:rsidRDefault="0083541E" w:rsidP="0083541E">
      <w:pPr>
        <w:rPr>
          <w:rFonts w:ascii="Times New Roman" w:hAnsi="Times New Roman" w:cs="Times New Roman"/>
          <w:sz w:val="20"/>
          <w:szCs w:val="20"/>
        </w:rPr>
      </w:pPr>
      <w:r w:rsidRPr="0083541E">
        <w:rPr>
          <w:rFonts w:ascii="Times New Roman" w:hAnsi="Times New Roman" w:cs="Times New Roman"/>
          <w:b/>
          <w:sz w:val="20"/>
          <w:szCs w:val="20"/>
        </w:rPr>
        <w:t>Kaynak:</w:t>
      </w:r>
      <w:r>
        <w:rPr>
          <w:rFonts w:ascii="Times New Roman" w:hAnsi="Times New Roman" w:cs="Times New Roman"/>
          <w:b/>
          <w:sz w:val="20"/>
          <w:szCs w:val="20"/>
        </w:rPr>
        <w:t xml:space="preserve"> </w:t>
      </w:r>
      <w:r w:rsidRPr="0083541E">
        <w:rPr>
          <w:rFonts w:ascii="Times New Roman" w:hAnsi="Times New Roman" w:cs="Times New Roman"/>
          <w:sz w:val="20"/>
          <w:szCs w:val="20"/>
        </w:rPr>
        <w:t>TÜİK, TEPAV, TO</w:t>
      </w:r>
      <w:r w:rsidR="00B63B35">
        <w:rPr>
          <w:rFonts w:ascii="Times New Roman" w:hAnsi="Times New Roman" w:cs="Times New Roman"/>
          <w:sz w:val="20"/>
          <w:szCs w:val="20"/>
        </w:rPr>
        <w:t>BB</w:t>
      </w:r>
    </w:p>
    <w:p w:rsidR="0034255A" w:rsidRDefault="0034255A">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34255A" w:rsidTr="0034255A">
        <w:trPr>
          <w:trHeight w:val="930"/>
        </w:trPr>
        <w:tc>
          <w:tcPr>
            <w:tcW w:w="8754" w:type="dxa"/>
            <w:vAlign w:val="center"/>
          </w:tcPr>
          <w:p w:rsidR="0034255A" w:rsidRPr="0034255A" w:rsidRDefault="0034255A" w:rsidP="0034255A">
            <w:pPr>
              <w:pStyle w:val="stbilgi"/>
              <w:rPr>
                <w:rFonts w:asciiTheme="majorHAnsi" w:eastAsiaTheme="majorEastAsia" w:hAnsiTheme="majorHAnsi" w:cstheme="majorBidi"/>
                <w:b/>
                <w:sz w:val="36"/>
                <w:szCs w:val="36"/>
              </w:rPr>
            </w:pPr>
            <w:r w:rsidRPr="0034255A">
              <w:rPr>
                <w:rFonts w:asciiTheme="majorHAnsi" w:eastAsiaTheme="majorEastAsia" w:hAnsiTheme="majorHAnsi" w:cstheme="majorBidi"/>
                <w:b/>
                <w:sz w:val="36"/>
                <w:szCs w:val="36"/>
              </w:rPr>
              <w:lastRenderedPageBreak/>
              <w:t>2019 MART KISA VADELİ DIŞ BORÇ İSTATİSTİKLERİ GELİŞMELERİ</w:t>
            </w:r>
          </w:p>
        </w:tc>
      </w:tr>
    </w:tbl>
    <w:p w:rsidR="0034255A" w:rsidRDefault="0034255A" w:rsidP="0083541E">
      <w:pPr>
        <w:rPr>
          <w:rFonts w:ascii="Times New Roman" w:hAnsi="Times New Roman" w:cs="Times New Roman"/>
          <w:sz w:val="20"/>
          <w:szCs w:val="20"/>
        </w:rPr>
      </w:pPr>
    </w:p>
    <w:p w:rsidR="00307DC2" w:rsidRPr="008C61EB" w:rsidRDefault="00307DC2" w:rsidP="00307DC2">
      <w:pPr>
        <w:jc w:val="both"/>
        <w:rPr>
          <w:rFonts w:ascii="Times New Roman" w:hAnsi="Times New Roman" w:cs="Times New Roman"/>
          <w:b/>
        </w:rPr>
      </w:pPr>
      <w:r w:rsidRPr="00106F6F">
        <w:rPr>
          <w:rFonts w:ascii="Times New Roman" w:hAnsi="Times New Roman" w:cs="Times New Roman"/>
          <w:b/>
        </w:rPr>
        <w:t xml:space="preserve">Kısa vadeli dış borçlara ilişkin </w:t>
      </w:r>
      <w:r>
        <w:rPr>
          <w:rFonts w:ascii="Times New Roman" w:hAnsi="Times New Roman" w:cs="Times New Roman"/>
          <w:b/>
        </w:rPr>
        <w:t>2019</w:t>
      </w:r>
      <w:r w:rsidRPr="00106F6F">
        <w:rPr>
          <w:rFonts w:ascii="Times New Roman" w:hAnsi="Times New Roman" w:cs="Times New Roman"/>
          <w:b/>
        </w:rPr>
        <w:t xml:space="preserve"> </w:t>
      </w:r>
      <w:r>
        <w:rPr>
          <w:rFonts w:ascii="Times New Roman" w:hAnsi="Times New Roman" w:cs="Times New Roman"/>
          <w:b/>
        </w:rPr>
        <w:t xml:space="preserve">Mart </w:t>
      </w:r>
      <w:r w:rsidRPr="00106F6F">
        <w:rPr>
          <w:rFonts w:ascii="Times New Roman" w:hAnsi="Times New Roman" w:cs="Times New Roman"/>
          <w:b/>
        </w:rPr>
        <w:t xml:space="preserve">ayı verileri, Türkiye Cumhuriyet Merkez Bankası (TCMB) tarafından </w:t>
      </w:r>
      <w:r>
        <w:rPr>
          <w:rFonts w:ascii="Times New Roman" w:hAnsi="Times New Roman" w:cs="Times New Roman"/>
          <w:b/>
        </w:rPr>
        <w:t>17</w:t>
      </w:r>
      <w:r w:rsidRPr="00106F6F">
        <w:rPr>
          <w:rFonts w:ascii="Times New Roman" w:hAnsi="Times New Roman" w:cs="Times New Roman"/>
          <w:b/>
        </w:rPr>
        <w:t xml:space="preserve"> </w:t>
      </w:r>
      <w:r>
        <w:rPr>
          <w:rFonts w:ascii="Times New Roman" w:hAnsi="Times New Roman" w:cs="Times New Roman"/>
          <w:b/>
        </w:rPr>
        <w:t xml:space="preserve">Mayıs </w:t>
      </w:r>
      <w:r w:rsidRPr="00106F6F">
        <w:rPr>
          <w:rFonts w:ascii="Times New Roman" w:hAnsi="Times New Roman" w:cs="Times New Roman"/>
          <w:b/>
        </w:rPr>
        <w:t>201</w:t>
      </w:r>
      <w:r>
        <w:rPr>
          <w:rFonts w:ascii="Times New Roman" w:hAnsi="Times New Roman" w:cs="Times New Roman"/>
          <w:b/>
        </w:rPr>
        <w:t>9</w:t>
      </w:r>
      <w:r w:rsidRPr="00106F6F">
        <w:rPr>
          <w:rFonts w:ascii="Times New Roman" w:hAnsi="Times New Roman" w:cs="Times New Roman"/>
          <w:b/>
        </w:rPr>
        <w:t xml:space="preserve"> tarihinde yayımlandı</w:t>
      </w:r>
      <w:r w:rsidRPr="00106F6F">
        <w:rPr>
          <w:rStyle w:val="DipnotBavurusu"/>
          <w:rFonts w:ascii="Times New Roman" w:hAnsi="Times New Roman" w:cs="Times New Roman"/>
          <w:b/>
        </w:rPr>
        <w:footnoteReference w:id="3"/>
      </w:r>
      <w:r w:rsidRPr="00106F6F">
        <w:rPr>
          <w:rFonts w:ascii="Times New Roman" w:hAnsi="Times New Roman" w:cs="Times New Roman"/>
          <w:b/>
        </w:rPr>
        <w:t>.</w:t>
      </w:r>
    </w:p>
    <w:p w:rsidR="00307DC2" w:rsidRPr="008C61EB" w:rsidRDefault="00307DC2" w:rsidP="00307DC2">
      <w:pPr>
        <w:jc w:val="both"/>
        <w:rPr>
          <w:rFonts w:ascii="Times New Roman" w:hAnsi="Times New Roman" w:cs="Times New Roman"/>
        </w:rPr>
      </w:pPr>
      <w:r w:rsidRPr="008C61EB">
        <w:rPr>
          <w:rFonts w:ascii="Times New Roman" w:hAnsi="Times New Roman" w:cs="Times New Roman"/>
        </w:rPr>
        <w:t>Kısa vadeli dış borçlar, 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307DC2" w:rsidRPr="008C0FFC" w:rsidRDefault="00307DC2" w:rsidP="00307DC2">
      <w:pPr>
        <w:jc w:val="both"/>
        <w:rPr>
          <w:rFonts w:ascii="Times New Roman" w:hAnsi="Times New Roman" w:cs="Times New Roman"/>
          <w:b/>
        </w:rPr>
      </w:pPr>
      <w:r w:rsidRPr="008C61EB">
        <w:rPr>
          <w:rFonts w:ascii="Times New Roman" w:hAnsi="Times New Roman" w:cs="Times New Roman"/>
          <w:b/>
        </w:rPr>
        <w:t xml:space="preserve">Buna göre, kısa vadeli dış borç stoku </w:t>
      </w:r>
      <w:r>
        <w:rPr>
          <w:rFonts w:ascii="Times New Roman" w:hAnsi="Times New Roman" w:cs="Times New Roman"/>
          <w:b/>
        </w:rPr>
        <w:t xml:space="preserve">2019 yılı ilk çeyreklik </w:t>
      </w:r>
      <w:r w:rsidRPr="008C61EB">
        <w:rPr>
          <w:rFonts w:ascii="Times New Roman" w:hAnsi="Times New Roman" w:cs="Times New Roman"/>
          <w:b/>
        </w:rPr>
        <w:t xml:space="preserve">itibarıyla </w:t>
      </w:r>
      <w:r>
        <w:rPr>
          <w:rFonts w:ascii="Times New Roman" w:hAnsi="Times New Roman" w:cs="Times New Roman"/>
          <w:b/>
        </w:rPr>
        <w:t>2018</w:t>
      </w:r>
      <w:r w:rsidRPr="008C61EB">
        <w:rPr>
          <w:rFonts w:ascii="Times New Roman" w:hAnsi="Times New Roman" w:cs="Times New Roman"/>
          <w:b/>
        </w:rPr>
        <w:t xml:space="preserve"> yılsonuna göre </w:t>
      </w:r>
      <w:r>
        <w:rPr>
          <w:rFonts w:ascii="Times New Roman" w:hAnsi="Times New Roman" w:cs="Times New Roman"/>
          <w:b/>
        </w:rPr>
        <w:t>2,8</w:t>
      </w:r>
      <w:r w:rsidRPr="008C61EB">
        <w:rPr>
          <w:rFonts w:ascii="Times New Roman" w:hAnsi="Times New Roman" w:cs="Times New Roman"/>
          <w:b/>
        </w:rPr>
        <w:t xml:space="preserve"> milyar ABD doları</w:t>
      </w:r>
      <w:r>
        <w:rPr>
          <w:rFonts w:ascii="Times New Roman" w:hAnsi="Times New Roman" w:cs="Times New Roman"/>
          <w:b/>
        </w:rPr>
        <w:t xml:space="preserve"> artmış</w:t>
      </w:r>
      <w:r w:rsidRPr="008C61EB">
        <w:rPr>
          <w:rFonts w:ascii="Times New Roman" w:hAnsi="Times New Roman" w:cs="Times New Roman"/>
          <w:b/>
        </w:rPr>
        <w:t xml:space="preserve"> ve yaklaşık 1</w:t>
      </w:r>
      <w:r>
        <w:rPr>
          <w:rFonts w:ascii="Times New Roman" w:hAnsi="Times New Roman" w:cs="Times New Roman"/>
          <w:b/>
        </w:rPr>
        <w:t>19,4</w:t>
      </w:r>
      <w:r w:rsidRPr="008C61EB">
        <w:rPr>
          <w:rFonts w:ascii="Times New Roman" w:hAnsi="Times New Roman" w:cs="Times New Roman"/>
          <w:b/>
        </w:rPr>
        <w:t xml:space="preserve"> milyar ABD doları olarak gerçekleşmiştir (Şekil 1). Aynı dönemde bankalar kaynaklı kısa vadeli dış borç stoku </w:t>
      </w:r>
      <w:r>
        <w:rPr>
          <w:rFonts w:ascii="Times New Roman" w:hAnsi="Times New Roman" w:cs="Times New Roman"/>
          <w:b/>
        </w:rPr>
        <w:t>1 milyon ABD doları artarak</w:t>
      </w:r>
      <w:r w:rsidRPr="008C61EB">
        <w:rPr>
          <w:rFonts w:ascii="Times New Roman" w:hAnsi="Times New Roman" w:cs="Times New Roman"/>
          <w:b/>
        </w:rPr>
        <w:t xml:space="preserve"> </w:t>
      </w:r>
      <w:r>
        <w:rPr>
          <w:rFonts w:ascii="Times New Roman" w:hAnsi="Times New Roman" w:cs="Times New Roman"/>
          <w:b/>
        </w:rPr>
        <w:t>57,1 milyar ABD dolarına,</w:t>
      </w:r>
      <w:r w:rsidRPr="008C61EB">
        <w:rPr>
          <w:rFonts w:ascii="Times New Roman" w:hAnsi="Times New Roman" w:cs="Times New Roman"/>
          <w:b/>
        </w:rPr>
        <w:t xml:space="preserve"> diğer sektörler kaynak</w:t>
      </w:r>
      <w:r>
        <w:rPr>
          <w:rFonts w:ascii="Times New Roman" w:hAnsi="Times New Roman" w:cs="Times New Roman"/>
          <w:b/>
        </w:rPr>
        <w:t>lı kısa vadeli dış borç stoku 2,8 milyar ABD doları</w:t>
      </w:r>
      <w:r w:rsidRPr="008C61EB">
        <w:rPr>
          <w:rFonts w:ascii="Times New Roman" w:hAnsi="Times New Roman" w:cs="Times New Roman"/>
          <w:b/>
        </w:rPr>
        <w:t xml:space="preserve"> </w:t>
      </w:r>
      <w:r>
        <w:rPr>
          <w:rFonts w:ascii="Times New Roman" w:hAnsi="Times New Roman" w:cs="Times New Roman"/>
          <w:b/>
        </w:rPr>
        <w:t>artarak 56,3</w:t>
      </w:r>
      <w:r w:rsidRPr="008C61EB">
        <w:rPr>
          <w:rFonts w:ascii="Times New Roman" w:hAnsi="Times New Roman" w:cs="Times New Roman"/>
          <w:b/>
        </w:rPr>
        <w:t xml:space="preserve"> milyar ABD </w:t>
      </w:r>
      <w:r w:rsidRPr="007B66C3">
        <w:rPr>
          <w:rFonts w:ascii="Times New Roman" w:hAnsi="Times New Roman" w:cs="Times New Roman"/>
          <w:b/>
        </w:rPr>
        <w:t xml:space="preserve">dolarına </w:t>
      </w:r>
      <w:r>
        <w:rPr>
          <w:rFonts w:ascii="Times New Roman" w:hAnsi="Times New Roman" w:cs="Times New Roman"/>
          <w:b/>
        </w:rPr>
        <w:t>yükselmiştir</w:t>
      </w:r>
      <w:r w:rsidRPr="007B66C3">
        <w:rPr>
          <w:rFonts w:ascii="Times New Roman" w:hAnsi="Times New Roman" w:cs="Times New Roman"/>
          <w:b/>
        </w:rPr>
        <w:t>.</w:t>
      </w:r>
    </w:p>
    <w:p w:rsidR="00307DC2" w:rsidRDefault="00307DC2" w:rsidP="00307DC2">
      <w:pPr>
        <w:jc w:val="both"/>
        <w:rPr>
          <w:rFonts w:ascii="Times New Roman" w:hAnsi="Times New Roman" w:cs="Times New Roman"/>
        </w:rPr>
      </w:pPr>
      <w:r w:rsidRPr="008C0FFC">
        <w:rPr>
          <w:rFonts w:ascii="Times New Roman" w:hAnsi="Times New Roman" w:cs="Times New Roman"/>
        </w:rPr>
        <w:t>Şekil 1: Kısa Vadeli Dış Borç Stoku (1990:Q1-</w:t>
      </w:r>
      <w:r>
        <w:rPr>
          <w:rFonts w:ascii="Times New Roman" w:hAnsi="Times New Roman" w:cs="Times New Roman"/>
        </w:rPr>
        <w:t xml:space="preserve"> 2019:Q1, Milyon ABD Doları)</w:t>
      </w:r>
    </w:p>
    <w:p w:rsidR="00307DC2" w:rsidRDefault="00307DC2" w:rsidP="004E5185">
      <w:pPr>
        <w:spacing w:after="0" w:line="240" w:lineRule="auto"/>
        <w:jc w:val="both"/>
        <w:rPr>
          <w:noProof/>
        </w:rPr>
      </w:pPr>
      <w:r w:rsidRPr="00B517EF">
        <w:rPr>
          <w:noProof/>
        </w:rPr>
        <w:drawing>
          <wp:inline distT="0" distB="0" distL="0" distR="0" wp14:anchorId="3F0A375C" wp14:editId="05FAA502">
            <wp:extent cx="5971540" cy="368617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3824" cy="3687585"/>
                    </a:xfrm>
                    <a:prstGeom prst="rect">
                      <a:avLst/>
                    </a:prstGeom>
                    <a:noFill/>
                    <a:ln>
                      <a:noFill/>
                    </a:ln>
                  </pic:spPr>
                </pic:pic>
              </a:graphicData>
            </a:graphic>
          </wp:inline>
        </w:drawing>
      </w:r>
    </w:p>
    <w:p w:rsidR="00307DC2" w:rsidRPr="003220FE" w:rsidRDefault="00307DC2" w:rsidP="00307DC2">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r>
        <w:rPr>
          <w:rFonts w:ascii="Times New Roman" w:hAnsi="Times New Roman" w:cs="Times New Roman"/>
          <w:sz w:val="18"/>
          <w:szCs w:val="18"/>
        </w:rPr>
        <w:t>, TEPAV</w:t>
      </w:r>
    </w:p>
    <w:p w:rsidR="0034255A" w:rsidRDefault="0034255A">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C74CBA" w:rsidRPr="008C61EB" w:rsidRDefault="00C74CBA" w:rsidP="00C74CBA">
      <w:pPr>
        <w:jc w:val="both"/>
        <w:rPr>
          <w:rFonts w:ascii="Times New Roman" w:hAnsi="Times New Roman" w:cs="Times New Roman"/>
        </w:rPr>
      </w:pPr>
      <w:r>
        <w:rPr>
          <w:rFonts w:ascii="Times New Roman" w:hAnsi="Times New Roman" w:cs="Times New Roman"/>
        </w:rPr>
        <w:lastRenderedPageBreak/>
        <w:t>Kısa vadeli dış borç stokunun %47,8</w:t>
      </w:r>
      <w:r w:rsidRPr="008C61EB">
        <w:rPr>
          <w:rFonts w:ascii="Times New Roman" w:hAnsi="Times New Roman" w:cs="Times New Roman"/>
        </w:rPr>
        <w:t>’</w:t>
      </w:r>
      <w:r>
        <w:rPr>
          <w:rFonts w:ascii="Times New Roman" w:hAnsi="Times New Roman" w:cs="Times New Roman"/>
        </w:rPr>
        <w:t>i</w:t>
      </w:r>
      <w:r w:rsidRPr="008C61EB">
        <w:rPr>
          <w:rFonts w:ascii="Times New Roman" w:hAnsi="Times New Roman" w:cs="Times New Roman"/>
        </w:rPr>
        <w:t xml:space="preserve"> bankalar kaynaklı borçlardan oluşmaktadır. Bankalar kaynaklı borçların %</w:t>
      </w:r>
      <w:r>
        <w:rPr>
          <w:rFonts w:ascii="Times New Roman" w:hAnsi="Times New Roman" w:cs="Times New Roman"/>
        </w:rPr>
        <w:t>16,5’ini</w:t>
      </w:r>
      <w:r w:rsidRPr="008C61EB">
        <w:rPr>
          <w:rFonts w:ascii="Times New Roman" w:hAnsi="Times New Roman" w:cs="Times New Roman"/>
        </w:rPr>
        <w:t xml:space="preserve"> ise krediler oluşturmaktadır. Bankaların yurt dışından kulland</w:t>
      </w:r>
      <w:r>
        <w:rPr>
          <w:rFonts w:ascii="Times New Roman" w:hAnsi="Times New Roman" w:cs="Times New Roman"/>
        </w:rPr>
        <w:t xml:space="preserve">ıkları kısa vadeli krediler 2019 yılı ilk çeyreklik </w:t>
      </w:r>
      <w:r w:rsidRPr="008C61EB">
        <w:rPr>
          <w:rFonts w:ascii="Times New Roman" w:hAnsi="Times New Roman" w:cs="Times New Roman"/>
        </w:rPr>
        <w:t>itibarıyla</w:t>
      </w:r>
      <w:r>
        <w:rPr>
          <w:rFonts w:ascii="Times New Roman" w:hAnsi="Times New Roman" w:cs="Times New Roman"/>
        </w:rPr>
        <w:t xml:space="preserve"> yaklaşık 9,4 </w:t>
      </w:r>
      <w:r w:rsidRPr="008C61EB">
        <w:rPr>
          <w:rFonts w:ascii="Times New Roman" w:hAnsi="Times New Roman" w:cs="Times New Roman"/>
        </w:rPr>
        <w:t>mil</w:t>
      </w:r>
      <w:r>
        <w:rPr>
          <w:rFonts w:ascii="Times New Roman" w:hAnsi="Times New Roman" w:cs="Times New Roman"/>
        </w:rPr>
        <w:t>yar</w:t>
      </w:r>
      <w:r w:rsidRPr="008C61EB">
        <w:rPr>
          <w:rFonts w:ascii="Times New Roman" w:hAnsi="Times New Roman" w:cs="Times New Roman"/>
        </w:rPr>
        <w:t xml:space="preserve"> ABD doları olarak gerçekleşmiştir. Bu rakam, kısa vadeli kredilerde 2</w:t>
      </w:r>
      <w:r>
        <w:rPr>
          <w:rFonts w:ascii="Times New Roman" w:hAnsi="Times New Roman" w:cs="Times New Roman"/>
        </w:rPr>
        <w:t>018 yılsonuna göre %14,4</w:t>
      </w:r>
      <w:r w:rsidRPr="008C61EB">
        <w:rPr>
          <w:rFonts w:ascii="Times New Roman" w:hAnsi="Times New Roman" w:cs="Times New Roman"/>
        </w:rPr>
        <w:t>’l</w:t>
      </w:r>
      <w:r>
        <w:rPr>
          <w:rFonts w:ascii="Times New Roman" w:hAnsi="Times New Roman" w:cs="Times New Roman"/>
        </w:rPr>
        <w:t>ü</w:t>
      </w:r>
      <w:r w:rsidRPr="008C61EB">
        <w:rPr>
          <w:rFonts w:ascii="Times New Roman" w:hAnsi="Times New Roman" w:cs="Times New Roman"/>
        </w:rPr>
        <w:t xml:space="preserve">k bir </w:t>
      </w:r>
      <w:r>
        <w:rPr>
          <w:rFonts w:ascii="Times New Roman" w:hAnsi="Times New Roman" w:cs="Times New Roman"/>
        </w:rPr>
        <w:t xml:space="preserve">düşüş </w:t>
      </w:r>
      <w:r w:rsidRPr="008C61EB">
        <w:rPr>
          <w:rFonts w:ascii="Times New Roman" w:hAnsi="Times New Roman" w:cs="Times New Roman"/>
        </w:rPr>
        <w:t>yaşandığı anlamına gelmektedir. Aynı dönemde yurt dışı yerleşi</w:t>
      </w:r>
      <w:r>
        <w:rPr>
          <w:rFonts w:ascii="Times New Roman" w:hAnsi="Times New Roman" w:cs="Times New Roman"/>
        </w:rPr>
        <w:t>klerin döviz tevdiat hesabı %2,1 oranında, banka mevduatları %1,4 oranında, TL cinsinden mevduatları %7,1</w:t>
      </w:r>
      <w:r w:rsidRPr="008C61EB">
        <w:rPr>
          <w:rFonts w:ascii="Times New Roman" w:hAnsi="Times New Roman" w:cs="Times New Roman"/>
        </w:rPr>
        <w:t xml:space="preserve"> </w:t>
      </w:r>
      <w:r>
        <w:rPr>
          <w:rFonts w:ascii="Times New Roman" w:hAnsi="Times New Roman" w:cs="Times New Roman"/>
        </w:rPr>
        <w:t xml:space="preserve">oranında artmıştır </w:t>
      </w:r>
      <w:r w:rsidRPr="008C61EB">
        <w:rPr>
          <w:rFonts w:ascii="Times New Roman" w:hAnsi="Times New Roman" w:cs="Times New Roman"/>
        </w:rPr>
        <w:t>(Tablo 1).</w:t>
      </w:r>
    </w:p>
    <w:p w:rsidR="00C74CBA" w:rsidRPr="008C0FFC" w:rsidRDefault="00C74CBA" w:rsidP="00C74CBA">
      <w:pPr>
        <w:jc w:val="both"/>
        <w:rPr>
          <w:rFonts w:ascii="Times New Roman" w:hAnsi="Times New Roman" w:cs="Times New Roman"/>
        </w:rPr>
      </w:pPr>
      <w:r w:rsidRPr="008C61EB">
        <w:rPr>
          <w:rFonts w:ascii="Times New Roman" w:hAnsi="Times New Roman" w:cs="Times New Roman"/>
        </w:rPr>
        <w:t>Diğer sektörlerin yurt dışından sağladığı kısa vadeli borçlar ise 201</w:t>
      </w:r>
      <w:r>
        <w:rPr>
          <w:rFonts w:ascii="Times New Roman" w:hAnsi="Times New Roman" w:cs="Times New Roman"/>
        </w:rPr>
        <w:t>8</w:t>
      </w:r>
      <w:r w:rsidRPr="008C61EB">
        <w:rPr>
          <w:rFonts w:ascii="Times New Roman" w:hAnsi="Times New Roman" w:cs="Times New Roman"/>
        </w:rPr>
        <w:t xml:space="preserve"> yılsonuna göre %</w:t>
      </w:r>
      <w:r>
        <w:rPr>
          <w:rFonts w:ascii="Times New Roman" w:hAnsi="Times New Roman" w:cs="Times New Roman"/>
        </w:rPr>
        <w:t>5,2</w:t>
      </w:r>
      <w:r w:rsidRPr="008C61EB">
        <w:rPr>
          <w:rFonts w:ascii="Times New Roman" w:hAnsi="Times New Roman" w:cs="Times New Roman"/>
        </w:rPr>
        <w:t xml:space="preserve"> oranında a</w:t>
      </w:r>
      <w:r>
        <w:rPr>
          <w:rFonts w:ascii="Times New Roman" w:hAnsi="Times New Roman" w:cs="Times New Roman"/>
        </w:rPr>
        <w:t>rtarak 56,3 milyar</w:t>
      </w:r>
      <w:r w:rsidRPr="008C61EB">
        <w:rPr>
          <w:rFonts w:ascii="Times New Roman" w:hAnsi="Times New Roman" w:cs="Times New Roman"/>
        </w:rPr>
        <w:t xml:space="preserve"> ABD doları seviyesinde gerçekleşmiştir.</w:t>
      </w:r>
      <w:r>
        <w:rPr>
          <w:rFonts w:ascii="Times New Roman" w:hAnsi="Times New Roman" w:cs="Times New Roman"/>
        </w:rPr>
        <w:t xml:space="preserve"> </w:t>
      </w:r>
    </w:p>
    <w:p w:rsidR="00C74CBA" w:rsidRDefault="00C74CBA" w:rsidP="00C74CBA">
      <w:pPr>
        <w:jc w:val="both"/>
        <w:rPr>
          <w:rFonts w:ascii="Times New Roman" w:hAnsi="Times New Roman" w:cs="Times New Roman"/>
        </w:rPr>
      </w:pPr>
      <w:r w:rsidRPr="008C0FFC">
        <w:rPr>
          <w:rFonts w:ascii="Times New Roman" w:hAnsi="Times New Roman" w:cs="Times New Roman"/>
        </w:rPr>
        <w:t xml:space="preserve">Tablo 1: Kısa Vadeli </w:t>
      </w:r>
      <w:r>
        <w:rPr>
          <w:rFonts w:ascii="Times New Roman" w:hAnsi="Times New Roman" w:cs="Times New Roman"/>
        </w:rPr>
        <w:t>Dış Borç Stoku (2016:Q1- 2019:Q1, Milyon ABD Doları)</w:t>
      </w:r>
    </w:p>
    <w:p w:rsidR="00C74CBA" w:rsidRDefault="00C74CBA" w:rsidP="00C74CBA">
      <w:pPr>
        <w:jc w:val="both"/>
        <w:rPr>
          <w:noProof/>
        </w:rPr>
      </w:pPr>
      <w:r w:rsidRPr="00B517EF">
        <w:rPr>
          <w:noProof/>
        </w:rPr>
        <w:drawing>
          <wp:inline distT="0" distB="0" distL="0" distR="0" wp14:anchorId="63C16EB6" wp14:editId="0EC13295">
            <wp:extent cx="5970905" cy="2857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6864" cy="2860352"/>
                    </a:xfrm>
                    <a:prstGeom prst="rect">
                      <a:avLst/>
                    </a:prstGeom>
                    <a:noFill/>
                    <a:ln>
                      <a:noFill/>
                    </a:ln>
                  </pic:spPr>
                </pic:pic>
              </a:graphicData>
            </a:graphic>
          </wp:inline>
        </w:drawing>
      </w:r>
    </w:p>
    <w:p w:rsidR="00C74CBA" w:rsidRPr="006A0E50" w:rsidRDefault="00C74CBA" w:rsidP="00C74CBA">
      <w:pPr>
        <w:jc w:val="both"/>
        <w:rPr>
          <w:noProof/>
        </w:rPr>
      </w:pPr>
      <w:r w:rsidRPr="00356CFC">
        <w:rPr>
          <w:rFonts w:ascii="Times New Roman" w:hAnsi="Times New Roman" w:cs="Times New Roman"/>
          <w:sz w:val="18"/>
          <w:szCs w:val="18"/>
        </w:rPr>
        <w:t>Kaynak: TCMB</w:t>
      </w:r>
    </w:p>
    <w:p w:rsidR="00C74CBA" w:rsidRPr="008C61EB" w:rsidRDefault="00C74CBA" w:rsidP="00C74CBA">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oluşan kamu sektörünün borcunun </w:t>
      </w:r>
      <w:r>
        <w:rPr>
          <w:rFonts w:ascii="Times New Roman" w:hAnsi="Times New Roman" w:cs="Times New Roman"/>
        </w:rPr>
        <w:t xml:space="preserve">2019 ilk çeyreklik </w:t>
      </w:r>
      <w:r w:rsidRPr="008C61EB">
        <w:rPr>
          <w:rFonts w:ascii="Times New Roman" w:hAnsi="Times New Roman" w:cs="Times New Roman"/>
        </w:rPr>
        <w:t xml:space="preserve">itibarıyla, </w:t>
      </w:r>
      <w:r>
        <w:rPr>
          <w:rFonts w:ascii="Times New Roman" w:hAnsi="Times New Roman" w:cs="Times New Roman"/>
        </w:rPr>
        <w:t>2018</w:t>
      </w:r>
      <w:r w:rsidRPr="008C61EB">
        <w:rPr>
          <w:rFonts w:ascii="Times New Roman" w:hAnsi="Times New Roman" w:cs="Times New Roman"/>
        </w:rPr>
        <w:t xml:space="preserve"> yılsonuna göre %</w:t>
      </w:r>
      <w:r>
        <w:rPr>
          <w:rFonts w:ascii="Times New Roman" w:hAnsi="Times New Roman" w:cs="Times New Roman"/>
        </w:rPr>
        <w:t>8,7</w:t>
      </w:r>
      <w:r w:rsidRPr="008C61EB">
        <w:rPr>
          <w:rFonts w:ascii="Times New Roman" w:hAnsi="Times New Roman" w:cs="Times New Roman"/>
        </w:rPr>
        <w:t xml:space="preserve"> oranında a</w:t>
      </w:r>
      <w:r>
        <w:rPr>
          <w:rFonts w:ascii="Times New Roman" w:hAnsi="Times New Roman" w:cs="Times New Roman"/>
        </w:rPr>
        <w:t>rttı</w:t>
      </w:r>
      <w:r w:rsidRPr="008C61EB">
        <w:rPr>
          <w:rFonts w:ascii="Times New Roman" w:hAnsi="Times New Roman" w:cs="Times New Roman"/>
        </w:rPr>
        <w:t xml:space="preserve">ğı </w:t>
      </w:r>
      <w:r>
        <w:rPr>
          <w:rFonts w:ascii="Times New Roman" w:hAnsi="Times New Roman" w:cs="Times New Roman"/>
        </w:rPr>
        <w:t>ve 24,4</w:t>
      </w:r>
      <w:r w:rsidRPr="008C61EB">
        <w:rPr>
          <w:rFonts w:ascii="Times New Roman" w:hAnsi="Times New Roman" w:cs="Times New Roman"/>
        </w:rPr>
        <w:t xml:space="preserve"> milyar ABD dolarına </w:t>
      </w:r>
      <w:r>
        <w:rPr>
          <w:rFonts w:ascii="Times New Roman" w:hAnsi="Times New Roman" w:cs="Times New Roman"/>
        </w:rPr>
        <w:t xml:space="preserve">yükseldiği </w:t>
      </w:r>
      <w:r w:rsidRPr="008C61EB">
        <w:rPr>
          <w:rFonts w:ascii="Times New Roman" w:hAnsi="Times New Roman" w:cs="Times New Roman"/>
        </w:rPr>
        <w:t xml:space="preserve">görülmektedir. Kısa </w:t>
      </w:r>
      <w:r>
        <w:rPr>
          <w:rFonts w:ascii="Times New Roman" w:hAnsi="Times New Roman" w:cs="Times New Roman"/>
        </w:rPr>
        <w:t>vadeli dış borç stokunun %74,6</w:t>
      </w:r>
      <w:r w:rsidRPr="008C61EB">
        <w:rPr>
          <w:rFonts w:ascii="Times New Roman" w:hAnsi="Times New Roman" w:cs="Times New Roman"/>
        </w:rPr>
        <w:t>’</w:t>
      </w:r>
      <w:r>
        <w:rPr>
          <w:rFonts w:ascii="Times New Roman" w:hAnsi="Times New Roman" w:cs="Times New Roman"/>
        </w:rPr>
        <w:t>sını</w:t>
      </w:r>
      <w:r w:rsidRPr="008C61EB">
        <w:rPr>
          <w:rFonts w:ascii="Times New Roman" w:hAnsi="Times New Roman" w:cs="Times New Roman"/>
        </w:rPr>
        <w:t xml:space="preserve"> oluşturan özel sektörün kısa vadeli dış borç stoku ise </w:t>
      </w:r>
      <w:r>
        <w:rPr>
          <w:rFonts w:ascii="Times New Roman" w:hAnsi="Times New Roman" w:cs="Times New Roman"/>
        </w:rPr>
        <w:t>2019 yılı ilk çeyrekliğinde</w:t>
      </w:r>
      <w:r w:rsidRPr="008C61EB">
        <w:rPr>
          <w:rFonts w:ascii="Times New Roman" w:hAnsi="Times New Roman" w:cs="Times New Roman"/>
        </w:rPr>
        <w:t>, 201</w:t>
      </w:r>
      <w:r>
        <w:rPr>
          <w:rFonts w:ascii="Times New Roman" w:hAnsi="Times New Roman" w:cs="Times New Roman"/>
        </w:rPr>
        <w:t>8 yılsonuna göre %0,9 oranında</w:t>
      </w:r>
      <w:r w:rsidRPr="008C61EB">
        <w:rPr>
          <w:rFonts w:ascii="Times New Roman" w:hAnsi="Times New Roman" w:cs="Times New Roman"/>
        </w:rPr>
        <w:t xml:space="preserve"> a</w:t>
      </w:r>
      <w:r>
        <w:rPr>
          <w:rFonts w:ascii="Times New Roman" w:hAnsi="Times New Roman" w:cs="Times New Roman"/>
        </w:rPr>
        <w:t>rt</w:t>
      </w:r>
      <w:r w:rsidRPr="008C61EB">
        <w:rPr>
          <w:rFonts w:ascii="Times New Roman" w:hAnsi="Times New Roman" w:cs="Times New Roman"/>
        </w:rPr>
        <w:t xml:space="preserve">mış ve </w:t>
      </w:r>
      <w:r>
        <w:rPr>
          <w:rFonts w:ascii="Times New Roman" w:hAnsi="Times New Roman" w:cs="Times New Roman"/>
        </w:rPr>
        <w:t>89</w:t>
      </w:r>
      <w:r w:rsidRPr="008C61EB">
        <w:rPr>
          <w:rFonts w:ascii="Times New Roman" w:hAnsi="Times New Roman" w:cs="Times New Roman"/>
        </w:rPr>
        <w:t xml:space="preserve"> milyar ABD doları seviyesinde gerçekleşmiştir.</w:t>
      </w:r>
    </w:p>
    <w:p w:rsidR="00C74CBA" w:rsidRPr="001B5A76" w:rsidRDefault="00C74CBA" w:rsidP="00C74CBA">
      <w:pPr>
        <w:jc w:val="both"/>
        <w:rPr>
          <w:rFonts w:ascii="Times New Roman" w:hAnsi="Times New Roman" w:cs="Times New Roman"/>
        </w:rPr>
      </w:pPr>
      <w:r w:rsidRPr="008C61EB">
        <w:rPr>
          <w:rFonts w:ascii="Times New Roman" w:hAnsi="Times New Roman" w:cs="Times New Roman"/>
        </w:rPr>
        <w:t>Alacaklı bazında dağılım incelendiğinde ise özel kredi alacaklıların</w:t>
      </w:r>
      <w:r>
        <w:rPr>
          <w:rFonts w:ascii="Times New Roman" w:hAnsi="Times New Roman" w:cs="Times New Roman"/>
        </w:rPr>
        <w:t xml:space="preserve"> %39,3’ünü</w:t>
      </w:r>
      <w:r w:rsidRPr="008C61EB">
        <w:rPr>
          <w:rFonts w:ascii="Times New Roman" w:hAnsi="Times New Roman" w:cs="Times New Roman"/>
        </w:rPr>
        <w:t xml:space="preserve"> oluşturan parasal kuruluşlara olan kısa vadeli borçların 201</w:t>
      </w:r>
      <w:r>
        <w:rPr>
          <w:rFonts w:ascii="Times New Roman" w:hAnsi="Times New Roman" w:cs="Times New Roman"/>
        </w:rPr>
        <w:t>9</w:t>
      </w:r>
      <w:r w:rsidRPr="008C61EB">
        <w:rPr>
          <w:rFonts w:ascii="Times New Roman" w:hAnsi="Times New Roman" w:cs="Times New Roman"/>
        </w:rPr>
        <w:t xml:space="preserve"> yılı </w:t>
      </w:r>
      <w:r>
        <w:rPr>
          <w:rFonts w:ascii="Times New Roman" w:hAnsi="Times New Roman" w:cs="Times New Roman"/>
        </w:rPr>
        <w:t xml:space="preserve">ilk çeyreklik </w:t>
      </w:r>
      <w:r w:rsidRPr="008C61EB">
        <w:rPr>
          <w:rFonts w:ascii="Times New Roman" w:hAnsi="Times New Roman" w:cs="Times New Roman"/>
        </w:rPr>
        <w:t>itibarıyla, bir önceki yılsonuna göre %</w:t>
      </w:r>
      <w:r>
        <w:rPr>
          <w:rFonts w:ascii="Times New Roman" w:hAnsi="Times New Roman" w:cs="Times New Roman"/>
        </w:rPr>
        <w:t>4</w:t>
      </w:r>
      <w:r w:rsidRPr="008C61EB">
        <w:rPr>
          <w:rFonts w:ascii="Times New Roman" w:hAnsi="Times New Roman" w:cs="Times New Roman"/>
        </w:rPr>
        <w:t xml:space="preserve"> oranında </w:t>
      </w:r>
      <w:r>
        <w:rPr>
          <w:rFonts w:ascii="Times New Roman" w:hAnsi="Times New Roman" w:cs="Times New Roman"/>
        </w:rPr>
        <w:t>azaldığı ve 46,5</w:t>
      </w:r>
      <w:r w:rsidRPr="008C61EB">
        <w:rPr>
          <w:rFonts w:ascii="Times New Roman" w:hAnsi="Times New Roman" w:cs="Times New Roman"/>
        </w:rPr>
        <w:t xml:space="preserve"> milyar ABD dolarına </w:t>
      </w:r>
      <w:r>
        <w:rPr>
          <w:rFonts w:ascii="Times New Roman" w:hAnsi="Times New Roman" w:cs="Times New Roman"/>
        </w:rPr>
        <w:t xml:space="preserve">gerilediği </w:t>
      </w:r>
      <w:r w:rsidRPr="008C61EB">
        <w:rPr>
          <w:rFonts w:ascii="Times New Roman" w:hAnsi="Times New Roman" w:cs="Times New Roman"/>
        </w:rPr>
        <w:t>görülmektedir. Aynı dönemde parasal olmayan kuruluşlara olan kısa vadeli borçlar ise %</w:t>
      </w:r>
      <w:r>
        <w:rPr>
          <w:rFonts w:ascii="Times New Roman" w:hAnsi="Times New Roman" w:cs="Times New Roman"/>
        </w:rPr>
        <w:t>6,3</w:t>
      </w:r>
      <w:r w:rsidRPr="008C61EB">
        <w:rPr>
          <w:rFonts w:ascii="Times New Roman" w:hAnsi="Times New Roman" w:cs="Times New Roman"/>
        </w:rPr>
        <w:t xml:space="preserve"> oranında </w:t>
      </w:r>
      <w:r>
        <w:rPr>
          <w:rFonts w:ascii="Times New Roman" w:hAnsi="Times New Roman" w:cs="Times New Roman"/>
        </w:rPr>
        <w:t>art</w:t>
      </w:r>
      <w:r w:rsidRPr="008C61EB">
        <w:rPr>
          <w:rFonts w:ascii="Times New Roman" w:hAnsi="Times New Roman" w:cs="Times New Roman"/>
        </w:rPr>
        <w:t xml:space="preserve">mış ve </w:t>
      </w:r>
      <w:r>
        <w:rPr>
          <w:rFonts w:ascii="Times New Roman" w:hAnsi="Times New Roman" w:cs="Times New Roman"/>
        </w:rPr>
        <w:t xml:space="preserve">71,8 </w:t>
      </w:r>
      <w:r w:rsidRPr="008C61EB">
        <w:rPr>
          <w:rFonts w:ascii="Times New Roman" w:hAnsi="Times New Roman" w:cs="Times New Roman"/>
        </w:rPr>
        <w:t xml:space="preserve">milyar ABD doları seviyesinde gerçekleşmiştir. </w:t>
      </w:r>
      <w:r>
        <w:rPr>
          <w:rFonts w:ascii="Times New Roman" w:hAnsi="Times New Roman" w:cs="Times New Roman"/>
        </w:rPr>
        <w:t xml:space="preserve">2019 ilk çeyreklik </w:t>
      </w:r>
      <w:r w:rsidRPr="008C61EB">
        <w:rPr>
          <w:rFonts w:ascii="Times New Roman" w:hAnsi="Times New Roman" w:cs="Times New Roman"/>
        </w:rPr>
        <w:t xml:space="preserve">itibarıyla </w:t>
      </w:r>
      <w:r>
        <w:rPr>
          <w:rFonts w:ascii="Times New Roman" w:hAnsi="Times New Roman" w:cs="Times New Roman"/>
        </w:rPr>
        <w:t>77 milyon</w:t>
      </w:r>
      <w:r w:rsidRPr="008C61EB">
        <w:rPr>
          <w:rFonts w:ascii="Times New Roman" w:hAnsi="Times New Roman" w:cs="Times New Roman"/>
        </w:rPr>
        <w:t xml:space="preserve"> ABD doları olan tahvil ihraçlarının</w:t>
      </w:r>
      <w:r>
        <w:rPr>
          <w:rFonts w:ascii="Times New Roman" w:hAnsi="Times New Roman" w:cs="Times New Roman"/>
        </w:rPr>
        <w:t xml:space="preserve"> 2018</w:t>
      </w:r>
      <w:r w:rsidRPr="008C61EB">
        <w:rPr>
          <w:rFonts w:ascii="Times New Roman" w:hAnsi="Times New Roman" w:cs="Times New Roman"/>
        </w:rPr>
        <w:t xml:space="preserve"> yılsonuna göre </w:t>
      </w:r>
      <w:r>
        <w:rPr>
          <w:rFonts w:ascii="Times New Roman" w:hAnsi="Times New Roman" w:cs="Times New Roman"/>
        </w:rPr>
        <w:t xml:space="preserve">%22,2 </w:t>
      </w:r>
      <w:r w:rsidRPr="008C61EB">
        <w:rPr>
          <w:rFonts w:ascii="Times New Roman" w:hAnsi="Times New Roman" w:cs="Times New Roman"/>
        </w:rPr>
        <w:t xml:space="preserve">oranında </w:t>
      </w:r>
      <w:r>
        <w:rPr>
          <w:rFonts w:ascii="Times New Roman" w:hAnsi="Times New Roman" w:cs="Times New Roman"/>
        </w:rPr>
        <w:t xml:space="preserve">azaldığı </w:t>
      </w:r>
      <w:r w:rsidRPr="008C61EB">
        <w:rPr>
          <w:rFonts w:ascii="Times New Roman" w:hAnsi="Times New Roman" w:cs="Times New Roman"/>
        </w:rPr>
        <w:t>görülmektedir.</w:t>
      </w:r>
    </w:p>
    <w:p w:rsidR="00C74CBA" w:rsidRPr="008C0FFC" w:rsidRDefault="00C74CBA" w:rsidP="00C74CBA">
      <w:pPr>
        <w:jc w:val="both"/>
        <w:rPr>
          <w:rFonts w:ascii="Times New Roman" w:hAnsi="Times New Roman" w:cs="Times New Roman"/>
        </w:rPr>
      </w:pPr>
      <w:r w:rsidRPr="00FB2490">
        <w:rPr>
          <w:rFonts w:ascii="Times New Roman" w:hAnsi="Times New Roman" w:cs="Times New Roman"/>
        </w:rPr>
        <w:t>Kısa vadeli dı</w:t>
      </w:r>
      <w:r>
        <w:rPr>
          <w:rFonts w:ascii="Times New Roman" w:hAnsi="Times New Roman" w:cs="Times New Roman"/>
        </w:rPr>
        <w:t xml:space="preserve">ş borç stokunun 2005 – 2019:Q1 </w:t>
      </w:r>
      <w:r w:rsidRPr="00FB2490">
        <w:rPr>
          <w:rFonts w:ascii="Times New Roman" w:hAnsi="Times New Roman" w:cs="Times New Roman"/>
        </w:rPr>
        <w:t xml:space="preserve">dönemindeki döviz kompozisyonu incelendiğinde, 2005 yılına kıyasla yaklaşık </w:t>
      </w:r>
      <w:r>
        <w:rPr>
          <w:rFonts w:ascii="Times New Roman" w:hAnsi="Times New Roman" w:cs="Times New Roman"/>
        </w:rPr>
        <w:t>yüzde 9,3</w:t>
      </w:r>
      <w:r w:rsidRPr="00FB2490">
        <w:rPr>
          <w:rFonts w:ascii="Times New Roman" w:hAnsi="Times New Roman" w:cs="Times New Roman"/>
        </w:rPr>
        <w:t xml:space="preserve"> 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Pr="008C61EB">
        <w:rPr>
          <w:rFonts w:ascii="Times New Roman" w:hAnsi="Times New Roman" w:cs="Times New Roman"/>
        </w:rPr>
        <w:t>euro</w:t>
      </w:r>
      <w:proofErr w:type="spellEnd"/>
      <w:r w:rsidRPr="008C61EB">
        <w:rPr>
          <w:rFonts w:ascii="Times New Roman" w:hAnsi="Times New Roman" w:cs="Times New Roman"/>
        </w:rPr>
        <w:t xml:space="preserve"> ve diğer dövizlere göre daha yüksek olduğu görülmüştür. 201</w:t>
      </w:r>
      <w:r>
        <w:rPr>
          <w:rFonts w:ascii="Times New Roman" w:hAnsi="Times New Roman" w:cs="Times New Roman"/>
        </w:rPr>
        <w:t>9</w:t>
      </w:r>
      <w:r w:rsidRPr="008C61EB">
        <w:rPr>
          <w:rFonts w:ascii="Times New Roman" w:hAnsi="Times New Roman" w:cs="Times New Roman"/>
        </w:rPr>
        <w:t xml:space="preserve"> yılı </w:t>
      </w:r>
      <w:r>
        <w:rPr>
          <w:rFonts w:ascii="Times New Roman" w:hAnsi="Times New Roman" w:cs="Times New Roman"/>
        </w:rPr>
        <w:t xml:space="preserve">ilk çeyreklik </w:t>
      </w:r>
      <w:r w:rsidRPr="008C61EB">
        <w:rPr>
          <w:rFonts w:ascii="Times New Roman" w:hAnsi="Times New Roman" w:cs="Times New Roman"/>
        </w:rPr>
        <w:t xml:space="preserve">itibarıyla, kısa vadeli dış borç stokunun </w:t>
      </w:r>
      <w:r>
        <w:rPr>
          <w:rFonts w:ascii="Times New Roman" w:hAnsi="Times New Roman" w:cs="Times New Roman"/>
        </w:rPr>
        <w:t>%50,4</w:t>
      </w:r>
      <w:r w:rsidRPr="008C61EB">
        <w:rPr>
          <w:rFonts w:ascii="Times New Roman" w:hAnsi="Times New Roman" w:cs="Times New Roman"/>
        </w:rPr>
        <w:t>’</w:t>
      </w:r>
      <w:r>
        <w:rPr>
          <w:rFonts w:ascii="Times New Roman" w:hAnsi="Times New Roman" w:cs="Times New Roman"/>
        </w:rPr>
        <w:t>ü</w:t>
      </w:r>
      <w:r w:rsidRPr="008C61EB">
        <w:rPr>
          <w:rFonts w:ascii="Times New Roman" w:hAnsi="Times New Roman" w:cs="Times New Roman"/>
        </w:rPr>
        <w:t xml:space="preserve"> </w:t>
      </w:r>
      <w:r>
        <w:rPr>
          <w:rFonts w:ascii="Times New Roman" w:hAnsi="Times New Roman" w:cs="Times New Roman"/>
        </w:rPr>
        <w:t>ABD doları, %29,6’sı</w:t>
      </w:r>
      <w:r w:rsidRPr="008C61EB">
        <w:rPr>
          <w:rFonts w:ascii="Times New Roman" w:hAnsi="Times New Roman" w:cs="Times New Roman"/>
        </w:rPr>
        <w:t xml:space="preserve"> Euro, %1</w:t>
      </w:r>
      <w:r>
        <w:rPr>
          <w:rFonts w:ascii="Times New Roman" w:hAnsi="Times New Roman" w:cs="Times New Roman"/>
        </w:rPr>
        <w:t>4,7</w:t>
      </w:r>
      <w:r w:rsidRPr="008C61EB">
        <w:rPr>
          <w:rFonts w:ascii="Times New Roman" w:hAnsi="Times New Roman" w:cs="Times New Roman"/>
        </w:rPr>
        <w:t>’</w:t>
      </w:r>
      <w:r>
        <w:rPr>
          <w:rFonts w:ascii="Times New Roman" w:hAnsi="Times New Roman" w:cs="Times New Roman"/>
        </w:rPr>
        <w:t>si</w:t>
      </w:r>
      <w:r w:rsidRPr="008C61EB">
        <w:rPr>
          <w:rFonts w:ascii="Times New Roman" w:hAnsi="Times New Roman" w:cs="Times New Roman"/>
        </w:rPr>
        <w:t xml:space="preserve"> TL ve %</w:t>
      </w:r>
      <w:r>
        <w:rPr>
          <w:rFonts w:ascii="Times New Roman" w:hAnsi="Times New Roman" w:cs="Times New Roman"/>
        </w:rPr>
        <w:t xml:space="preserve">5,3’ü </w:t>
      </w:r>
      <w:r w:rsidRPr="008C61EB">
        <w:rPr>
          <w:rFonts w:ascii="Times New Roman" w:hAnsi="Times New Roman" w:cs="Times New Roman"/>
        </w:rPr>
        <w:t>d</w:t>
      </w:r>
      <w:r>
        <w:rPr>
          <w:rFonts w:ascii="Times New Roman" w:hAnsi="Times New Roman" w:cs="Times New Roman"/>
        </w:rPr>
        <w:t>e</w:t>
      </w:r>
      <w:r w:rsidRPr="008C61EB">
        <w:rPr>
          <w:rFonts w:ascii="Times New Roman" w:hAnsi="Times New Roman" w:cs="Times New Roman"/>
        </w:rPr>
        <w:t xml:space="preserve"> diğer döviz cinslerinden oluşmaktadır (Şekil 2).</w:t>
      </w:r>
    </w:p>
    <w:p w:rsidR="00C74CBA" w:rsidRDefault="00C74CBA" w:rsidP="00C74CBA">
      <w:pPr>
        <w:jc w:val="both"/>
        <w:rPr>
          <w:rFonts w:ascii="Times New Roman" w:hAnsi="Times New Roman" w:cs="Times New Roman"/>
        </w:rPr>
      </w:pPr>
    </w:p>
    <w:p w:rsidR="00C74CBA" w:rsidRDefault="00C74CBA" w:rsidP="00C74CBA">
      <w:pPr>
        <w:jc w:val="both"/>
        <w:rPr>
          <w:rFonts w:ascii="Times New Roman" w:hAnsi="Times New Roman" w:cs="Times New Roman"/>
        </w:rPr>
      </w:pPr>
      <w:r w:rsidRPr="008C61EB">
        <w:rPr>
          <w:rFonts w:ascii="Times New Roman" w:hAnsi="Times New Roman" w:cs="Times New Roman"/>
        </w:rPr>
        <w:lastRenderedPageBreak/>
        <w:t>Şekil 2: Kısa Vadeli Dış Borç Stokunun Döviz Kompozisyonu, % (2005 –</w:t>
      </w:r>
      <w:r>
        <w:rPr>
          <w:rFonts w:ascii="Times New Roman" w:hAnsi="Times New Roman" w:cs="Times New Roman"/>
        </w:rPr>
        <w:t xml:space="preserve"> 2019:Q1)</w:t>
      </w:r>
    </w:p>
    <w:p w:rsidR="00C74CBA" w:rsidRPr="00A731EE" w:rsidRDefault="00C74CBA" w:rsidP="00C74CBA">
      <w:pPr>
        <w:jc w:val="both"/>
        <w:rPr>
          <w:rFonts w:ascii="Times New Roman" w:hAnsi="Times New Roman" w:cs="Times New Roman"/>
        </w:rPr>
      </w:pPr>
      <w:r w:rsidRPr="00342545">
        <w:rPr>
          <w:noProof/>
        </w:rPr>
        <w:drawing>
          <wp:inline distT="0" distB="0" distL="0" distR="0" wp14:anchorId="24BE3846" wp14:editId="3081AD79">
            <wp:extent cx="5970905" cy="24003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9493" cy="2403752"/>
                    </a:xfrm>
                    <a:prstGeom prst="rect">
                      <a:avLst/>
                    </a:prstGeom>
                    <a:noFill/>
                    <a:ln>
                      <a:noFill/>
                    </a:ln>
                  </pic:spPr>
                </pic:pic>
              </a:graphicData>
            </a:graphic>
          </wp:inline>
        </w:drawing>
      </w:r>
    </w:p>
    <w:p w:rsidR="00C74CBA" w:rsidRPr="00A731EE" w:rsidRDefault="00C74CBA" w:rsidP="00C74CBA">
      <w:pPr>
        <w:jc w:val="both"/>
        <w:rPr>
          <w:noProof/>
          <w:sz w:val="20"/>
          <w:szCs w:val="20"/>
        </w:rPr>
      </w:pPr>
      <w:r w:rsidRPr="00A731EE">
        <w:rPr>
          <w:rFonts w:ascii="Times New Roman" w:hAnsi="Times New Roman" w:cs="Times New Roman"/>
          <w:sz w:val="20"/>
          <w:szCs w:val="20"/>
        </w:rPr>
        <w:t>Kaynak: TCMB</w:t>
      </w:r>
    </w:p>
    <w:p w:rsidR="00C74CBA" w:rsidRDefault="00C74CBA" w:rsidP="00C74CBA">
      <w:pPr>
        <w:jc w:val="both"/>
      </w:pPr>
      <w:r w:rsidRPr="008C61EB">
        <w:rPr>
          <w:rFonts w:ascii="Times New Roman" w:hAnsi="Times New Roman" w:cs="Times New Roman"/>
        </w:rPr>
        <w:t xml:space="preserve">Son olarak kısa vadeli dış borç stokunu kalan vadeye göre değerlendirmek gerekirse </w:t>
      </w:r>
      <w:r>
        <w:rPr>
          <w:rFonts w:ascii="Times New Roman" w:hAnsi="Times New Roman" w:cs="Times New Roman"/>
        </w:rPr>
        <w:t>2019</w:t>
      </w:r>
      <w:r w:rsidRPr="008C61EB">
        <w:rPr>
          <w:rFonts w:ascii="Times New Roman" w:hAnsi="Times New Roman" w:cs="Times New Roman"/>
        </w:rPr>
        <w:t xml:space="preserve"> yılı </w:t>
      </w:r>
      <w:r>
        <w:rPr>
          <w:rFonts w:ascii="Times New Roman" w:hAnsi="Times New Roman" w:cs="Times New Roman"/>
        </w:rPr>
        <w:t>ilk çeyreklik</w:t>
      </w:r>
      <w:r w:rsidRPr="008C61EB">
        <w:rPr>
          <w:rFonts w:ascii="Times New Roman" w:hAnsi="Times New Roman" w:cs="Times New Roman"/>
        </w:rPr>
        <w:t xml:space="preserve"> itibarıyla, orijinal vadesine bakılmaksızın vadesine 1 yıl veya daha az kalmış kısa vadeli dış borç stokunun</w:t>
      </w:r>
      <w:r>
        <w:rPr>
          <w:rFonts w:ascii="Times New Roman" w:hAnsi="Times New Roman" w:cs="Times New Roman"/>
        </w:rPr>
        <w:t xml:space="preserve"> 177,4</w:t>
      </w:r>
      <w:r w:rsidRPr="008C61EB">
        <w:rPr>
          <w:rFonts w:ascii="Times New Roman" w:hAnsi="Times New Roman" w:cs="Times New Roman"/>
        </w:rPr>
        <w:t xml:space="preserve"> milyar ABD doları olduğu görülmektedir. Söz konusu stokun yaklaşık %</w:t>
      </w:r>
      <w:r>
        <w:rPr>
          <w:rFonts w:ascii="Times New Roman" w:hAnsi="Times New Roman" w:cs="Times New Roman"/>
        </w:rPr>
        <w:t>34,4</w:t>
      </w:r>
      <w:r w:rsidRPr="008C61EB">
        <w:rPr>
          <w:rFonts w:ascii="Times New Roman" w:hAnsi="Times New Roman" w:cs="Times New Roman"/>
        </w:rPr>
        <w:t>’</w:t>
      </w:r>
      <w:r>
        <w:rPr>
          <w:rFonts w:ascii="Times New Roman" w:hAnsi="Times New Roman" w:cs="Times New Roman"/>
        </w:rPr>
        <w:t>ü</w:t>
      </w:r>
      <w:r w:rsidRPr="008C61EB">
        <w:rPr>
          <w:rFonts w:ascii="Times New Roman" w:hAnsi="Times New Roman" w:cs="Times New Roman"/>
        </w:rPr>
        <w:t xml:space="preserve"> özel bankaların borçlarından oluşmaktadır. </w:t>
      </w:r>
      <w:r>
        <w:rPr>
          <w:rFonts w:ascii="Times New Roman" w:hAnsi="Times New Roman" w:cs="Times New Roman"/>
        </w:rPr>
        <w:t>21,1</w:t>
      </w:r>
      <w:r w:rsidRPr="008C61EB">
        <w:rPr>
          <w:rFonts w:ascii="Times New Roman" w:hAnsi="Times New Roman" w:cs="Times New Roman"/>
        </w:rPr>
        <w:t xml:space="preserve"> milyar ABD dolarlık kısmı ise Türkiye’de yerleşik bankaların ve özel sektörün, yurt dışı şubeleri ile iştiraklere olan borçlarından oluşmaktadır. Kalan vadeye göre dış borç stoku borçlu bazında ele alındığında, özel sektörün %</w:t>
      </w:r>
      <w:r>
        <w:rPr>
          <w:rFonts w:ascii="Times New Roman" w:hAnsi="Times New Roman" w:cs="Times New Roman"/>
        </w:rPr>
        <w:t>77,4</w:t>
      </w:r>
      <w:r w:rsidRPr="008C61EB">
        <w:rPr>
          <w:rFonts w:ascii="Times New Roman" w:hAnsi="Times New Roman" w:cs="Times New Roman"/>
        </w:rPr>
        <w:t>’l</w:t>
      </w:r>
      <w:r>
        <w:rPr>
          <w:rFonts w:ascii="Times New Roman" w:hAnsi="Times New Roman" w:cs="Times New Roman"/>
        </w:rPr>
        <w:t>ü</w:t>
      </w:r>
      <w:r w:rsidRPr="008C61EB">
        <w:rPr>
          <w:rFonts w:ascii="Times New Roman" w:hAnsi="Times New Roman" w:cs="Times New Roman"/>
        </w:rPr>
        <w:t>k oran ile en büyük paya sahip olduğu tespit edilmiştir. Kamu sektörü ve Merkez Bankası’nın payları ise sırasıyla, %</w:t>
      </w:r>
      <w:r>
        <w:rPr>
          <w:rFonts w:ascii="Times New Roman" w:hAnsi="Times New Roman" w:cs="Times New Roman"/>
        </w:rPr>
        <w:t xml:space="preserve">19,2 </w:t>
      </w:r>
      <w:r w:rsidRPr="008C61EB">
        <w:rPr>
          <w:rFonts w:ascii="Times New Roman" w:hAnsi="Times New Roman" w:cs="Times New Roman"/>
        </w:rPr>
        <w:t>ve %</w:t>
      </w:r>
      <w:r>
        <w:rPr>
          <w:rFonts w:ascii="Times New Roman" w:hAnsi="Times New Roman" w:cs="Times New Roman"/>
        </w:rPr>
        <w:t>3</w:t>
      </w:r>
      <w:r w:rsidRPr="008C61EB">
        <w:rPr>
          <w:rFonts w:ascii="Times New Roman" w:hAnsi="Times New Roman" w:cs="Times New Roman"/>
        </w:rPr>
        <w:t>,</w:t>
      </w:r>
      <w:r>
        <w:rPr>
          <w:rFonts w:ascii="Times New Roman" w:hAnsi="Times New Roman" w:cs="Times New Roman"/>
        </w:rPr>
        <w:t>3</w:t>
      </w:r>
      <w:r w:rsidRPr="008C61EB">
        <w:rPr>
          <w:rFonts w:ascii="Times New Roman" w:hAnsi="Times New Roman" w:cs="Times New Roman"/>
        </w:rPr>
        <w:t>’</w:t>
      </w:r>
      <w:r>
        <w:rPr>
          <w:rFonts w:ascii="Times New Roman" w:hAnsi="Times New Roman" w:cs="Times New Roman"/>
        </w:rPr>
        <w:t>tür</w:t>
      </w:r>
      <w:r w:rsidRPr="008C61EB">
        <w:rPr>
          <w:rFonts w:ascii="Times New Roman" w:hAnsi="Times New Roman" w:cs="Times New Roman"/>
        </w:rPr>
        <w:t>.</w:t>
      </w:r>
    </w:p>
    <w:p w:rsidR="007B1317" w:rsidRDefault="007B1317" w:rsidP="00C74CBA">
      <w:pPr>
        <w:rPr>
          <w:rFonts w:ascii="Times New Roman" w:hAnsi="Times New Roman" w:cs="Times New Roman"/>
          <w:b/>
          <w:sz w:val="20"/>
          <w:szCs w:val="20"/>
        </w:rPr>
      </w:pPr>
    </w:p>
    <w:p w:rsidR="007B1317" w:rsidRDefault="007B1317">
      <w:pPr>
        <w:spacing w:after="160" w:line="259" w:lineRule="auto"/>
        <w:rPr>
          <w:rFonts w:ascii="Times New Roman" w:hAnsi="Times New Roman" w:cs="Times New Roman"/>
          <w:b/>
          <w:sz w:val="20"/>
          <w:szCs w:val="20"/>
        </w:rPr>
      </w:pPr>
      <w:r>
        <w:rPr>
          <w:rFonts w:ascii="Times New Roman" w:hAnsi="Times New Roman" w:cs="Times New Roman"/>
          <w:b/>
          <w:sz w:val="20"/>
          <w:szCs w:val="20"/>
        </w:rPr>
        <w:br w:type="page"/>
      </w: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7B1317" w:rsidRPr="00926F30" w:rsidTr="0046633F">
        <w:trPr>
          <w:trHeight w:val="915"/>
        </w:trPr>
        <w:tc>
          <w:tcPr>
            <w:tcW w:w="8754" w:type="dxa"/>
            <w:vAlign w:val="center"/>
          </w:tcPr>
          <w:p w:rsidR="007B1317" w:rsidRPr="007B1317" w:rsidRDefault="007B1317" w:rsidP="007B1317">
            <w:pPr>
              <w:pStyle w:val="stbilgi"/>
              <w:rPr>
                <w:rFonts w:ascii="Times New Roman" w:eastAsiaTheme="majorEastAsia" w:hAnsi="Times New Roman" w:cs="Times New Roman"/>
                <w:b/>
                <w:sz w:val="36"/>
                <w:szCs w:val="36"/>
              </w:rPr>
            </w:pPr>
            <w:r w:rsidRPr="007B1317">
              <w:rPr>
                <w:rFonts w:ascii="Times New Roman" w:eastAsiaTheme="majorEastAsia" w:hAnsi="Times New Roman" w:cs="Times New Roman"/>
                <w:b/>
                <w:sz w:val="36"/>
                <w:szCs w:val="36"/>
              </w:rPr>
              <w:lastRenderedPageBreak/>
              <w:t>2019 Nisan</w:t>
            </w:r>
          </w:p>
          <w:p w:rsidR="007B1317" w:rsidRPr="007B1317" w:rsidRDefault="007B1317" w:rsidP="007B1317">
            <w:pPr>
              <w:pStyle w:val="stbilgi"/>
              <w:rPr>
                <w:rFonts w:ascii="Times New Roman" w:eastAsiaTheme="majorEastAsia" w:hAnsi="Times New Roman" w:cs="Times New Roman"/>
                <w:b/>
                <w:sz w:val="36"/>
                <w:szCs w:val="36"/>
              </w:rPr>
            </w:pPr>
            <w:r w:rsidRPr="007B1317">
              <w:rPr>
                <w:rFonts w:ascii="Times New Roman" w:eastAsiaTheme="majorEastAsia" w:hAnsi="Times New Roman" w:cs="Times New Roman"/>
                <w:b/>
                <w:sz w:val="36"/>
                <w:szCs w:val="36"/>
              </w:rPr>
              <w:t>ENFLASYON RAKAMLARI</w:t>
            </w:r>
          </w:p>
        </w:tc>
      </w:tr>
    </w:tbl>
    <w:p w:rsidR="0083541E" w:rsidRDefault="0083541E" w:rsidP="00C74CBA">
      <w:pPr>
        <w:rPr>
          <w:rFonts w:ascii="Times New Roman" w:hAnsi="Times New Roman" w:cs="Times New Roman"/>
          <w:b/>
          <w:sz w:val="20"/>
          <w:szCs w:val="20"/>
        </w:rPr>
      </w:pPr>
    </w:p>
    <w:p w:rsidR="00D243C1" w:rsidRPr="00926F30" w:rsidRDefault="00D243C1" w:rsidP="00D243C1">
      <w:pPr>
        <w:rPr>
          <w:rFonts w:ascii="Times New Roman" w:hAnsi="Times New Roman" w:cs="Times New Roman"/>
          <w:b/>
        </w:rPr>
      </w:pPr>
      <w:r>
        <w:rPr>
          <w:rFonts w:ascii="Times New Roman" w:hAnsi="Times New Roman" w:cs="Times New Roman"/>
          <w:b/>
        </w:rPr>
        <w:t>Nisan</w:t>
      </w:r>
      <w:r w:rsidRPr="00926F30">
        <w:rPr>
          <w:rFonts w:ascii="Times New Roman" w:hAnsi="Times New Roman" w:cs="Times New Roman"/>
          <w:b/>
        </w:rPr>
        <w:t xml:space="preserve"> 2019 Tüketici Fiyat Endeksi’ne (TÜFE) ilişkin veriler Türkiye İstatistik Kurumu (TÜİK) tarafından</w:t>
      </w:r>
      <w:r>
        <w:rPr>
          <w:rFonts w:ascii="Times New Roman" w:hAnsi="Times New Roman" w:cs="Times New Roman"/>
          <w:b/>
        </w:rPr>
        <w:t xml:space="preserve"> 3 Mayıs</w:t>
      </w:r>
      <w:r w:rsidRPr="00926F30">
        <w:rPr>
          <w:rFonts w:ascii="Times New Roman" w:hAnsi="Times New Roman" w:cs="Times New Roman"/>
          <w:b/>
        </w:rPr>
        <w:t xml:space="preserve"> 2019 tarihinde yayımlandı.</w:t>
      </w:r>
    </w:p>
    <w:p w:rsidR="00D243C1" w:rsidRPr="00926F30" w:rsidRDefault="00D243C1" w:rsidP="00D243C1">
      <w:pPr>
        <w:rPr>
          <w:rFonts w:ascii="Times New Roman" w:hAnsi="Times New Roman" w:cs="Times New Roman"/>
        </w:rPr>
      </w:pPr>
      <w:r w:rsidRPr="00926F30">
        <w:rPr>
          <w:rFonts w:ascii="Times New Roman" w:hAnsi="Times New Roman" w:cs="Times New Roman"/>
        </w:rPr>
        <w:t xml:space="preserve">TÜİK tarafından aylık yayımlanan TÜFE, kentlerde yaşayan hanelerin tükettiği mal ve hizmet fiyatlarının zaman içindeki ortalama değişim hakkında bilgi vermektedir. </w:t>
      </w:r>
    </w:p>
    <w:p w:rsidR="00D243C1" w:rsidRPr="00926F30" w:rsidRDefault="00D243C1" w:rsidP="00D243C1">
      <w:pPr>
        <w:jc w:val="both"/>
        <w:rPr>
          <w:rFonts w:ascii="Times New Roman" w:hAnsi="Times New Roman" w:cs="Times New Roman"/>
        </w:rPr>
      </w:pPr>
      <w:r w:rsidRPr="00926F30">
        <w:rPr>
          <w:rFonts w:ascii="Times New Roman" w:hAnsi="Times New Roman" w:cs="Times New Roman"/>
        </w:rPr>
        <w:t xml:space="preserve">2019 yılı </w:t>
      </w:r>
      <w:r>
        <w:rPr>
          <w:rFonts w:ascii="Times New Roman" w:hAnsi="Times New Roman" w:cs="Times New Roman"/>
        </w:rPr>
        <w:t>Nisan</w:t>
      </w:r>
      <w:r w:rsidRPr="00926F30">
        <w:rPr>
          <w:rFonts w:ascii="Times New Roman" w:hAnsi="Times New Roman" w:cs="Times New Roman"/>
        </w:rPr>
        <w:t xml:space="preserve"> ayında Türkiye Geneli TÜFE endeksi (Tablo 1) bir önceki aya (</w:t>
      </w:r>
      <w:r>
        <w:rPr>
          <w:rFonts w:ascii="Times New Roman" w:hAnsi="Times New Roman" w:cs="Times New Roman"/>
        </w:rPr>
        <w:t xml:space="preserve">Mart </w:t>
      </w:r>
      <w:r w:rsidRPr="00926F30">
        <w:rPr>
          <w:rFonts w:ascii="Times New Roman" w:hAnsi="Times New Roman" w:cs="Times New Roman"/>
        </w:rPr>
        <w:t xml:space="preserve">2018) göre yüzde </w:t>
      </w:r>
      <w:r>
        <w:rPr>
          <w:rFonts w:ascii="Times New Roman" w:hAnsi="Times New Roman" w:cs="Times New Roman"/>
        </w:rPr>
        <w:t xml:space="preserve">1,69 </w:t>
      </w:r>
      <w:r w:rsidRPr="00926F30">
        <w:rPr>
          <w:rFonts w:ascii="Times New Roman" w:hAnsi="Times New Roman" w:cs="Times New Roman"/>
        </w:rPr>
        <w:t xml:space="preserve">artarak </w:t>
      </w:r>
      <w:r>
        <w:rPr>
          <w:rFonts w:ascii="Times New Roman" w:hAnsi="Times New Roman" w:cs="Times New Roman"/>
        </w:rPr>
        <w:t>409,63</w:t>
      </w:r>
      <w:r w:rsidRPr="00926F30">
        <w:rPr>
          <w:rFonts w:ascii="Times New Roman" w:hAnsi="Times New Roman" w:cs="Times New Roman"/>
        </w:rPr>
        <w:t xml:space="preserve"> değerine </w:t>
      </w:r>
      <w:r>
        <w:rPr>
          <w:rFonts w:ascii="Times New Roman" w:hAnsi="Times New Roman" w:cs="Times New Roman"/>
        </w:rPr>
        <w:t>yükselmiştir</w:t>
      </w:r>
      <w:r w:rsidRPr="00926F30">
        <w:rPr>
          <w:rFonts w:ascii="Times New Roman" w:hAnsi="Times New Roman" w:cs="Times New Roman"/>
        </w:rPr>
        <w:t xml:space="preserve">. Endeks, bir önceki yılın aynı ayına göre ise yüzde </w:t>
      </w:r>
      <w:r>
        <w:rPr>
          <w:rFonts w:ascii="Times New Roman" w:hAnsi="Times New Roman" w:cs="Times New Roman"/>
        </w:rPr>
        <w:t>19,50</w:t>
      </w:r>
      <w:r w:rsidRPr="00926F30">
        <w:rPr>
          <w:rFonts w:ascii="Times New Roman" w:hAnsi="Times New Roman" w:cs="Times New Roman"/>
        </w:rPr>
        <w:t xml:space="preserve"> oranında artış göstermiştir. </w:t>
      </w:r>
      <w:r>
        <w:rPr>
          <w:rFonts w:ascii="Times New Roman" w:hAnsi="Times New Roman" w:cs="Times New Roman"/>
        </w:rPr>
        <w:t xml:space="preserve">Nisan </w:t>
      </w:r>
      <w:r w:rsidRPr="00926F30">
        <w:rPr>
          <w:rFonts w:ascii="Times New Roman" w:hAnsi="Times New Roman" w:cs="Times New Roman"/>
        </w:rPr>
        <w:t xml:space="preserve">(2019) ayında ana harcama grupları itibariyle en yüksek artış yüzde </w:t>
      </w:r>
      <w:r>
        <w:rPr>
          <w:rFonts w:ascii="Times New Roman" w:hAnsi="Times New Roman" w:cs="Times New Roman"/>
        </w:rPr>
        <w:t>6,77</w:t>
      </w:r>
      <w:r w:rsidRPr="00926F30">
        <w:rPr>
          <w:rFonts w:ascii="Times New Roman" w:hAnsi="Times New Roman" w:cs="Times New Roman"/>
        </w:rPr>
        <w:t xml:space="preserve"> ile </w:t>
      </w:r>
      <w:r w:rsidRPr="00527A27">
        <w:rPr>
          <w:rFonts w:ascii="Times New Roman" w:hAnsi="Times New Roman" w:cs="Times New Roman"/>
        </w:rPr>
        <w:t>alkollü içecekler ve tütün</w:t>
      </w:r>
      <w:r w:rsidRPr="00926F30">
        <w:rPr>
          <w:rFonts w:ascii="Times New Roman" w:hAnsi="Times New Roman" w:cs="Times New Roman"/>
        </w:rPr>
        <w:t xml:space="preserve"> grubunda yaşanırken, bunu yüzde </w:t>
      </w:r>
      <w:r>
        <w:rPr>
          <w:rFonts w:ascii="Times New Roman" w:hAnsi="Times New Roman" w:cs="Times New Roman"/>
        </w:rPr>
        <w:t>5,36</w:t>
      </w:r>
      <w:r w:rsidRPr="00926F30">
        <w:rPr>
          <w:rFonts w:ascii="Times New Roman" w:hAnsi="Times New Roman" w:cs="Times New Roman"/>
        </w:rPr>
        <w:t xml:space="preserve"> ile </w:t>
      </w:r>
      <w:r>
        <w:rPr>
          <w:rFonts w:ascii="Times New Roman" w:hAnsi="Times New Roman" w:cs="Times New Roman"/>
        </w:rPr>
        <w:t xml:space="preserve">gıda giyim ve ayakkabı </w:t>
      </w:r>
      <w:r w:rsidRPr="00926F30">
        <w:rPr>
          <w:rFonts w:ascii="Times New Roman" w:hAnsi="Times New Roman" w:cs="Times New Roman"/>
        </w:rPr>
        <w:t>grubu takip etmektedir. Öte yandan düşüş</w:t>
      </w:r>
      <w:r>
        <w:rPr>
          <w:rFonts w:ascii="Times New Roman" w:hAnsi="Times New Roman" w:cs="Times New Roman"/>
        </w:rPr>
        <w:t xml:space="preserve"> gösteren tek grup ise </w:t>
      </w:r>
      <w:r w:rsidRPr="00926F30">
        <w:rPr>
          <w:rFonts w:ascii="Times New Roman" w:hAnsi="Times New Roman" w:cs="Times New Roman"/>
        </w:rPr>
        <w:t xml:space="preserve">yüzde </w:t>
      </w:r>
      <w:r>
        <w:rPr>
          <w:rFonts w:ascii="Times New Roman" w:hAnsi="Times New Roman" w:cs="Times New Roman"/>
        </w:rPr>
        <w:t xml:space="preserve">0,30 </w:t>
      </w:r>
      <w:r w:rsidRPr="00926F30">
        <w:rPr>
          <w:rFonts w:ascii="Times New Roman" w:hAnsi="Times New Roman" w:cs="Times New Roman"/>
        </w:rPr>
        <w:t xml:space="preserve">ile </w:t>
      </w:r>
      <w:r>
        <w:rPr>
          <w:rFonts w:ascii="Times New Roman" w:hAnsi="Times New Roman" w:cs="Times New Roman"/>
        </w:rPr>
        <w:t>haberleşme grubu olmuştur.</w:t>
      </w:r>
    </w:p>
    <w:p w:rsidR="00D243C1" w:rsidRPr="00926F30" w:rsidRDefault="00D243C1" w:rsidP="00D243C1">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fiyat artışına en büyük etki (</w:t>
      </w:r>
      <w:r>
        <w:rPr>
          <w:rFonts w:ascii="Times New Roman" w:hAnsi="Times New Roman" w:cs="Times New Roman"/>
        </w:rPr>
        <w:t>0,39</w:t>
      </w:r>
      <w:r w:rsidRPr="00926F30">
        <w:rPr>
          <w:rFonts w:ascii="Times New Roman" w:hAnsi="Times New Roman" w:cs="Times New Roman"/>
        </w:rPr>
        <w:t xml:space="preserve">) </w:t>
      </w:r>
      <w:r>
        <w:rPr>
          <w:rFonts w:ascii="Times New Roman" w:hAnsi="Times New Roman" w:cs="Times New Roman"/>
        </w:rPr>
        <w:t>giyim ve ayakkabı</w:t>
      </w:r>
      <w:r w:rsidRPr="00926F30">
        <w:rPr>
          <w:rFonts w:ascii="Times New Roman" w:hAnsi="Times New Roman" w:cs="Times New Roman"/>
        </w:rPr>
        <w:t xml:space="preserve"> grubundan gelmektedir. Bunu </w:t>
      </w:r>
      <w:r>
        <w:rPr>
          <w:rFonts w:ascii="Times New Roman" w:hAnsi="Times New Roman" w:cs="Times New Roman"/>
        </w:rPr>
        <w:t>0,35</w:t>
      </w:r>
      <w:r w:rsidRPr="00926F30">
        <w:rPr>
          <w:rFonts w:ascii="Times New Roman" w:hAnsi="Times New Roman" w:cs="Times New Roman"/>
        </w:rPr>
        <w:t xml:space="preserve"> ile </w:t>
      </w:r>
      <w:r>
        <w:rPr>
          <w:rFonts w:ascii="Times New Roman" w:hAnsi="Times New Roman" w:cs="Times New Roman"/>
        </w:rPr>
        <w:t>alkollü içecekler ve tütün grubu</w:t>
      </w:r>
      <w:r w:rsidRPr="00926F30">
        <w:rPr>
          <w:rFonts w:ascii="Times New Roman" w:hAnsi="Times New Roman" w:cs="Times New Roman"/>
        </w:rPr>
        <w:t xml:space="preserve"> takip etmektedir. Öte yandan </w:t>
      </w:r>
      <w:r>
        <w:rPr>
          <w:rFonts w:ascii="Times New Roman" w:hAnsi="Times New Roman" w:cs="Times New Roman"/>
        </w:rPr>
        <w:t>haberleşme</w:t>
      </w:r>
      <w:r w:rsidRPr="00926F30">
        <w:rPr>
          <w:rFonts w:ascii="Times New Roman" w:hAnsi="Times New Roman" w:cs="Times New Roman"/>
        </w:rPr>
        <w:t xml:space="preserve"> gru</w:t>
      </w:r>
      <w:r>
        <w:rPr>
          <w:rFonts w:ascii="Times New Roman" w:hAnsi="Times New Roman" w:cs="Times New Roman"/>
        </w:rPr>
        <w:t>bunun</w:t>
      </w:r>
      <w:r w:rsidRPr="00926F30">
        <w:rPr>
          <w:rFonts w:ascii="Times New Roman" w:hAnsi="Times New Roman" w:cs="Times New Roman"/>
        </w:rPr>
        <w:t xml:space="preserve"> etkisi</w:t>
      </w:r>
      <w:r>
        <w:rPr>
          <w:rFonts w:ascii="Times New Roman" w:hAnsi="Times New Roman" w:cs="Times New Roman"/>
        </w:rPr>
        <w:t xml:space="preserve"> </w:t>
      </w:r>
      <w:r w:rsidRPr="00926F30">
        <w:rPr>
          <w:rFonts w:ascii="Times New Roman" w:hAnsi="Times New Roman" w:cs="Times New Roman"/>
        </w:rPr>
        <w:t>(0,</w:t>
      </w:r>
      <w:r>
        <w:rPr>
          <w:rFonts w:ascii="Times New Roman" w:hAnsi="Times New Roman" w:cs="Times New Roman"/>
        </w:rPr>
        <w:t>01</w:t>
      </w:r>
      <w:r w:rsidRPr="00926F30">
        <w:rPr>
          <w:rFonts w:ascii="Times New Roman" w:hAnsi="Times New Roman" w:cs="Times New Roman"/>
        </w:rPr>
        <w:t>)</w:t>
      </w:r>
      <w:r>
        <w:rPr>
          <w:rFonts w:ascii="Times New Roman" w:hAnsi="Times New Roman" w:cs="Times New Roman"/>
        </w:rPr>
        <w:t xml:space="preserve"> ise</w:t>
      </w:r>
      <w:r w:rsidRPr="00926F30">
        <w:rPr>
          <w:rFonts w:ascii="Times New Roman" w:hAnsi="Times New Roman" w:cs="Times New Roman"/>
        </w:rPr>
        <w:t xml:space="preserve"> negatif olarak gerçekleşmektedir.</w:t>
      </w:r>
    </w:p>
    <w:p w:rsidR="00D243C1" w:rsidRPr="007A2C3D" w:rsidRDefault="00D243C1" w:rsidP="00D243C1">
      <w:pPr>
        <w:pStyle w:val="rresim"/>
        <w:rPr>
          <w:b/>
        </w:rPr>
      </w:pPr>
      <w:r w:rsidRPr="007A2C3D">
        <w:rPr>
          <w:b/>
        </w:rPr>
        <w:t>Tablo 1: Ana-Harcama Gruplarına Göre Tüketici Fiyat Endeksi ve Değişim Oranları</w:t>
      </w:r>
    </w:p>
    <w:p w:rsidR="00D243C1" w:rsidRPr="00926F30" w:rsidRDefault="00D243C1" w:rsidP="00D243C1">
      <w:pPr>
        <w:rPr>
          <w:rFonts w:ascii="Times New Roman" w:hAnsi="Times New Roman" w:cs="Times New Roman"/>
          <w:sz w:val="14"/>
          <w:szCs w:val="14"/>
        </w:rPr>
      </w:pPr>
      <w:r w:rsidRPr="00F5000C">
        <w:rPr>
          <w:noProof/>
        </w:rPr>
        <w:drawing>
          <wp:inline distT="0" distB="0" distL="0" distR="0" wp14:anchorId="301EE7E0" wp14:editId="2CB246A1">
            <wp:extent cx="4560570" cy="259270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0570" cy="2592705"/>
                    </a:xfrm>
                    <a:prstGeom prst="rect">
                      <a:avLst/>
                    </a:prstGeom>
                    <a:noFill/>
                    <a:ln>
                      <a:noFill/>
                    </a:ln>
                  </pic:spPr>
                </pic:pic>
              </a:graphicData>
            </a:graphic>
          </wp:inline>
        </w:drawing>
      </w:r>
      <w:r w:rsidRPr="00926F30">
        <w:rPr>
          <w:rFonts w:ascii="Times New Roman" w:hAnsi="Times New Roman" w:cs="Times New Roman"/>
          <w:sz w:val="14"/>
          <w:szCs w:val="14"/>
        </w:rPr>
        <w:br/>
        <w:t>*Bir önceki yılın aynı ayına göre enflasyon değişimi</w:t>
      </w:r>
      <w:r w:rsidRPr="00926F30">
        <w:rPr>
          <w:rFonts w:ascii="Times New Roman" w:hAnsi="Times New Roman" w:cs="Times New Roman"/>
          <w:sz w:val="14"/>
          <w:szCs w:val="14"/>
        </w:rPr>
        <w:br/>
        <w:t>**Bir önceki aya göre enflasyon değişimi</w:t>
      </w:r>
    </w:p>
    <w:p w:rsidR="007A2C3D" w:rsidRPr="007A2C3D" w:rsidRDefault="007A2C3D" w:rsidP="007A2C3D">
      <w:pPr>
        <w:pStyle w:val="rresim"/>
        <w:rPr>
          <w:b/>
          <w:sz w:val="16"/>
        </w:rPr>
      </w:pPr>
      <w:r w:rsidRPr="007A2C3D">
        <w:rPr>
          <w:b/>
        </w:rPr>
        <w:lastRenderedPageBreak/>
        <w:t>Tablo 2:</w:t>
      </w:r>
      <w:r w:rsidRPr="007A2C3D">
        <w:rPr>
          <w:b/>
          <w:sz w:val="28"/>
        </w:rPr>
        <w:t xml:space="preserve"> </w:t>
      </w:r>
      <w:r w:rsidRPr="007A2C3D">
        <w:rPr>
          <w:b/>
        </w:rPr>
        <w:t>Ana-Harcama Gruplarının Genel Endeksteki Aylık Değişime Olan Etkisi (%), Nisan 2019</w:t>
      </w:r>
    </w:p>
    <w:p w:rsidR="007A2C3D" w:rsidRPr="00926F30" w:rsidRDefault="007A2C3D" w:rsidP="007A2C3D">
      <w:pPr>
        <w:rPr>
          <w:rFonts w:ascii="Times New Roman" w:hAnsi="Times New Roman" w:cs="Times New Roman"/>
          <w:b/>
          <w:sz w:val="18"/>
          <w:szCs w:val="14"/>
        </w:rPr>
      </w:pPr>
      <w:r w:rsidRPr="00B267AB">
        <w:rPr>
          <w:noProof/>
        </w:rPr>
        <w:drawing>
          <wp:inline distT="0" distB="0" distL="0" distR="0" wp14:anchorId="111F0DB2" wp14:editId="6F5D225A">
            <wp:extent cx="5972810" cy="2843699"/>
            <wp:effectExtent l="0" t="0" r="889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2810" cy="2843699"/>
                    </a:xfrm>
                    <a:prstGeom prst="rect">
                      <a:avLst/>
                    </a:prstGeom>
                    <a:noFill/>
                    <a:ln>
                      <a:noFill/>
                    </a:ln>
                  </pic:spPr>
                </pic:pic>
              </a:graphicData>
            </a:graphic>
          </wp:inline>
        </w:drawing>
      </w:r>
    </w:p>
    <w:p w:rsidR="007A2C3D" w:rsidRPr="00926F30" w:rsidRDefault="007A2C3D" w:rsidP="007A2C3D">
      <w:pPr>
        <w:jc w:val="both"/>
        <w:rPr>
          <w:rFonts w:ascii="Times New Roman" w:hAnsi="Times New Roman" w:cs="Times New Roman"/>
        </w:rPr>
      </w:pPr>
      <w:r w:rsidRPr="00926F30">
        <w:rPr>
          <w:rFonts w:ascii="Times New Roman" w:hAnsi="Times New Roman" w:cs="Times New Roman"/>
        </w:rPr>
        <w:t xml:space="preserve">TÜİK tarafından hesaplanan özel kapsamlı TÜFE göstergelerinden işlenmemiş gıda ürünleri, enerji, alkollü içkiler ve tütün ile altın hariç TÜFE endeksi bir önceki aya göre yüzde </w:t>
      </w:r>
      <w:r>
        <w:rPr>
          <w:rFonts w:ascii="Times New Roman" w:hAnsi="Times New Roman" w:cs="Times New Roman"/>
        </w:rPr>
        <w:t>1,45</w:t>
      </w:r>
      <w:r w:rsidRPr="00926F30">
        <w:rPr>
          <w:rFonts w:ascii="Times New Roman" w:hAnsi="Times New Roman" w:cs="Times New Roman"/>
        </w:rPr>
        <w:t xml:space="preserve"> oranında </w:t>
      </w:r>
      <w:r>
        <w:rPr>
          <w:rFonts w:ascii="Times New Roman" w:hAnsi="Times New Roman" w:cs="Times New Roman"/>
        </w:rPr>
        <w:t>artarak</w:t>
      </w:r>
      <w:r w:rsidRPr="00926F30">
        <w:rPr>
          <w:rFonts w:ascii="Times New Roman" w:hAnsi="Times New Roman" w:cs="Times New Roman"/>
        </w:rPr>
        <w:t xml:space="preserve"> 35</w:t>
      </w:r>
      <w:r>
        <w:rPr>
          <w:rFonts w:ascii="Times New Roman" w:hAnsi="Times New Roman" w:cs="Times New Roman"/>
        </w:rPr>
        <w:t>8</w:t>
      </w:r>
      <w:r w:rsidRPr="00926F30">
        <w:rPr>
          <w:rFonts w:ascii="Times New Roman" w:hAnsi="Times New Roman" w:cs="Times New Roman"/>
        </w:rPr>
        <w:t>,</w:t>
      </w:r>
      <w:r>
        <w:rPr>
          <w:rFonts w:ascii="Times New Roman" w:hAnsi="Times New Roman" w:cs="Times New Roman"/>
        </w:rPr>
        <w:t>68</w:t>
      </w:r>
      <w:r w:rsidRPr="00926F30">
        <w:rPr>
          <w:rFonts w:ascii="Times New Roman" w:hAnsi="Times New Roman" w:cs="Times New Roman"/>
        </w:rPr>
        <w:t xml:space="preserve"> değerini almıştır. Endeks son 12 ayda ortalama olarak yüzde 1</w:t>
      </w:r>
      <w:r>
        <w:rPr>
          <w:rFonts w:ascii="Times New Roman" w:hAnsi="Times New Roman" w:cs="Times New Roman"/>
        </w:rPr>
        <w:t>8,48</w:t>
      </w:r>
      <w:r w:rsidRPr="00926F30">
        <w:rPr>
          <w:rFonts w:ascii="Times New Roman" w:hAnsi="Times New Roman" w:cs="Times New Roman"/>
        </w:rPr>
        <w:t xml:space="preserve"> oranında artmıştır. İşlenmemiş gıda ürünleri, enerji, alkollü içkiler ve tütün ile altın hariç (özel kapsamlı) endeksin bir önceki yılın aynı ayına göre artış oranı ise yüzde </w:t>
      </w:r>
      <w:r>
        <w:rPr>
          <w:rFonts w:ascii="Times New Roman" w:hAnsi="Times New Roman" w:cs="Times New Roman"/>
        </w:rPr>
        <w:t>16,78</w:t>
      </w:r>
      <w:r w:rsidRPr="00926F30">
        <w:rPr>
          <w:rFonts w:ascii="Times New Roman" w:hAnsi="Times New Roman" w:cs="Times New Roman"/>
        </w:rPr>
        <w:t xml:space="preserve"> olarak gerçekleşmiştir.</w:t>
      </w:r>
    </w:p>
    <w:p w:rsidR="007A2C3D" w:rsidRPr="007C2487" w:rsidRDefault="007A2C3D" w:rsidP="007C2487">
      <w:pPr>
        <w:pStyle w:val="rresim"/>
        <w:spacing w:after="0"/>
        <w:rPr>
          <w:b/>
          <w:sz w:val="16"/>
        </w:rPr>
      </w:pPr>
      <w:r w:rsidRPr="007C2487">
        <w:rPr>
          <w:b/>
        </w:rPr>
        <w:t>Şekil 1: 2008-2018 zaman aralığında enflasyon değişim</w:t>
      </w:r>
      <w:r w:rsidRPr="007C2487">
        <w:rPr>
          <w:b/>
          <w:sz w:val="16"/>
        </w:rPr>
        <w:tab/>
      </w:r>
      <w:r w:rsidRPr="007C2487">
        <w:rPr>
          <w:b/>
          <w:sz w:val="14"/>
        </w:rPr>
        <w:tab/>
      </w:r>
      <w:r w:rsidRPr="007C2487">
        <w:rPr>
          <w:b/>
          <w:sz w:val="16"/>
        </w:rPr>
        <w:tab/>
      </w:r>
    </w:p>
    <w:p w:rsidR="007A2C3D" w:rsidRPr="00926F30" w:rsidRDefault="007A2C3D" w:rsidP="007A2C3D">
      <w:pPr>
        <w:rPr>
          <w:rFonts w:ascii="Times New Roman" w:hAnsi="Times New Roman" w:cs="Times New Roman"/>
          <w:b/>
          <w:sz w:val="16"/>
          <w:szCs w:val="14"/>
        </w:rPr>
      </w:pPr>
      <w:r w:rsidRPr="005256B4">
        <w:rPr>
          <w:noProof/>
        </w:rPr>
        <w:drawing>
          <wp:inline distT="0" distB="0" distL="0" distR="0" wp14:anchorId="2D30B9C1" wp14:editId="4152EE71">
            <wp:extent cx="5527040" cy="2830195"/>
            <wp:effectExtent l="0" t="0" r="0" b="825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rsidR="007A2C3D" w:rsidRDefault="007A2C3D" w:rsidP="007A2C3D">
      <w:pPr>
        <w:pStyle w:val="rresim"/>
      </w:pPr>
    </w:p>
    <w:p w:rsidR="007C2487" w:rsidRDefault="007C2487">
      <w:pPr>
        <w:spacing w:after="160" w:line="259" w:lineRule="auto"/>
        <w:rPr>
          <w:b/>
        </w:rPr>
      </w:pPr>
      <w:r>
        <w:rPr>
          <w:b/>
        </w:rPr>
        <w:br w:type="page"/>
      </w: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106FBE" w:rsidRPr="00926F30" w:rsidTr="00477F1B">
        <w:trPr>
          <w:trHeight w:val="915"/>
        </w:trPr>
        <w:tc>
          <w:tcPr>
            <w:tcW w:w="8754" w:type="dxa"/>
            <w:vAlign w:val="center"/>
          </w:tcPr>
          <w:p w:rsidR="00106FBE" w:rsidRPr="00106FBE" w:rsidRDefault="00106FBE" w:rsidP="00106FBE">
            <w:pPr>
              <w:pStyle w:val="stbilgi"/>
              <w:rPr>
                <w:rFonts w:ascii="Times New Roman" w:eastAsiaTheme="majorEastAsia" w:hAnsi="Times New Roman" w:cs="Times New Roman"/>
                <w:sz w:val="36"/>
                <w:szCs w:val="36"/>
              </w:rPr>
            </w:pPr>
            <w:r>
              <w:rPr>
                <w:rFonts w:ascii="Times New Roman" w:eastAsiaTheme="majorEastAsia" w:hAnsi="Times New Roman" w:cs="Times New Roman"/>
                <w:sz w:val="36"/>
                <w:szCs w:val="36"/>
              </w:rPr>
              <w:lastRenderedPageBreak/>
              <w:t>Perakende Güven Endeksi (TEPE)</w:t>
            </w:r>
            <w:r w:rsidRPr="00926F30">
              <w:rPr>
                <w:rFonts w:ascii="Times New Roman" w:eastAsiaTheme="majorEastAsia" w:hAnsi="Times New Roman" w:cs="Times New Roman"/>
                <w:bCs/>
                <w:sz w:val="28"/>
                <w:szCs w:val="36"/>
              </w:rPr>
              <w:t xml:space="preserve">   </w:t>
            </w:r>
          </w:p>
        </w:tc>
      </w:tr>
    </w:tbl>
    <w:p w:rsidR="00F21270" w:rsidRDefault="00F21270" w:rsidP="00F21270">
      <w:pPr>
        <w:pStyle w:val="Balk2"/>
        <w:spacing w:line="240" w:lineRule="auto"/>
        <w:jc w:val="both"/>
        <w:rPr>
          <w:rFonts w:asciiTheme="minorHAnsi" w:hAnsiTheme="minorHAnsi" w:cs="Arial"/>
          <w:b w:val="0"/>
          <w:color w:val="000000" w:themeColor="text1"/>
          <w:sz w:val="24"/>
        </w:rPr>
      </w:pPr>
      <w:r w:rsidRPr="000545D1">
        <w:rPr>
          <w:rFonts w:asciiTheme="minorHAnsi" w:hAnsiTheme="minorHAnsi" w:cs="Arial"/>
          <w:b w:val="0"/>
          <w:color w:val="000000" w:themeColor="text1"/>
          <w:sz w:val="24"/>
        </w:rPr>
        <w:t xml:space="preserve">Perakende güveni, </w:t>
      </w:r>
      <w:r>
        <w:rPr>
          <w:rFonts w:asciiTheme="minorHAnsi" w:hAnsiTheme="minorHAnsi" w:cs="Arial"/>
          <w:b w:val="0"/>
          <w:color w:val="000000" w:themeColor="text1"/>
          <w:sz w:val="24"/>
        </w:rPr>
        <w:t>Nisan</w:t>
      </w:r>
      <w:r w:rsidRPr="000545D1">
        <w:rPr>
          <w:rFonts w:asciiTheme="minorHAnsi" w:hAnsiTheme="minorHAnsi" w:cs="Arial"/>
          <w:b w:val="0"/>
          <w:color w:val="000000" w:themeColor="text1"/>
          <w:sz w:val="24"/>
        </w:rPr>
        <w:t xml:space="preserve"> ayında bir önceki aya göre </w:t>
      </w:r>
      <w:r>
        <w:rPr>
          <w:rFonts w:asciiTheme="minorHAnsi" w:hAnsiTheme="minorHAnsi" w:cs="Arial"/>
          <w:b w:val="0"/>
          <w:color w:val="000000" w:themeColor="text1"/>
          <w:sz w:val="24"/>
        </w:rPr>
        <w:t>4,5</w:t>
      </w:r>
      <w:r w:rsidRPr="000545D1">
        <w:rPr>
          <w:rFonts w:asciiTheme="minorHAnsi" w:hAnsiTheme="minorHAnsi" w:cs="Arial"/>
          <w:b w:val="0"/>
          <w:color w:val="000000" w:themeColor="text1"/>
          <w:sz w:val="24"/>
        </w:rPr>
        <w:t xml:space="preserve"> puan, bir önceki yılın aynı dönemine göre </w:t>
      </w:r>
      <w:r>
        <w:rPr>
          <w:rFonts w:asciiTheme="minorHAnsi" w:hAnsiTheme="minorHAnsi" w:cs="Arial"/>
          <w:b w:val="0"/>
          <w:color w:val="000000" w:themeColor="text1"/>
          <w:sz w:val="24"/>
        </w:rPr>
        <w:t>4,0</w:t>
      </w:r>
      <w:r w:rsidRPr="000545D1">
        <w:rPr>
          <w:rFonts w:asciiTheme="minorHAnsi" w:hAnsiTheme="minorHAnsi" w:cs="Arial"/>
          <w:b w:val="0"/>
          <w:color w:val="000000" w:themeColor="text1"/>
          <w:sz w:val="24"/>
        </w:rPr>
        <w:t xml:space="preserve"> puan azaldı. Perakende güveninin </w:t>
      </w:r>
      <w:r>
        <w:rPr>
          <w:rFonts w:asciiTheme="minorHAnsi" w:hAnsiTheme="minorHAnsi" w:cs="Arial"/>
          <w:b w:val="0"/>
          <w:color w:val="000000" w:themeColor="text1"/>
          <w:sz w:val="24"/>
        </w:rPr>
        <w:t xml:space="preserve">geçen yıla ve </w:t>
      </w:r>
      <w:r w:rsidRPr="000545D1">
        <w:rPr>
          <w:rFonts w:asciiTheme="minorHAnsi" w:hAnsiTheme="minorHAnsi" w:cs="Arial"/>
          <w:b w:val="0"/>
          <w:color w:val="000000" w:themeColor="text1"/>
          <w:sz w:val="24"/>
        </w:rPr>
        <w:t>geçen aya göre a</w:t>
      </w:r>
      <w:r>
        <w:rPr>
          <w:rFonts w:asciiTheme="minorHAnsi" w:hAnsiTheme="minorHAnsi" w:cs="Arial"/>
          <w:b w:val="0"/>
          <w:color w:val="000000" w:themeColor="text1"/>
          <w:sz w:val="24"/>
        </w:rPr>
        <w:t>zalışınd</w:t>
      </w:r>
      <w:r w:rsidRPr="000545D1">
        <w:rPr>
          <w:rFonts w:asciiTheme="minorHAnsi" w:hAnsiTheme="minorHAnsi" w:cs="Arial"/>
          <w:b w:val="0"/>
          <w:color w:val="000000" w:themeColor="text1"/>
          <w:sz w:val="24"/>
        </w:rPr>
        <w:t xml:space="preserve">a, geçtiğimiz 3 ayda işlerin gelişimi ve önümüzdeki 3 ayda satış beklentilerindeki </w:t>
      </w:r>
      <w:r>
        <w:rPr>
          <w:rFonts w:asciiTheme="minorHAnsi" w:hAnsiTheme="minorHAnsi" w:cs="Arial"/>
          <w:b w:val="0"/>
          <w:color w:val="000000" w:themeColor="text1"/>
          <w:sz w:val="24"/>
        </w:rPr>
        <w:t>düşüş</w:t>
      </w:r>
      <w:r w:rsidRPr="000545D1">
        <w:rPr>
          <w:rFonts w:asciiTheme="minorHAnsi" w:hAnsiTheme="minorHAnsi" w:cs="Arial"/>
          <w:b w:val="0"/>
          <w:color w:val="000000" w:themeColor="text1"/>
          <w:sz w:val="24"/>
        </w:rPr>
        <w:t xml:space="preserve"> etkili oldu. “</w:t>
      </w:r>
      <w:r>
        <w:rPr>
          <w:rFonts w:asciiTheme="minorHAnsi" w:hAnsiTheme="minorHAnsi" w:cs="Arial"/>
          <w:b w:val="0"/>
          <w:color w:val="000000" w:themeColor="text1"/>
          <w:sz w:val="24"/>
        </w:rPr>
        <w:t>M</w:t>
      </w:r>
      <w:r w:rsidRPr="00163CC4">
        <w:rPr>
          <w:rFonts w:asciiTheme="minorHAnsi" w:hAnsiTheme="minorHAnsi" w:cs="Arial"/>
          <w:b w:val="0"/>
          <w:color w:val="000000" w:themeColor="text1"/>
          <w:sz w:val="24"/>
        </w:rPr>
        <w:t xml:space="preserve">obilya, aydınlatma </w:t>
      </w:r>
      <w:proofErr w:type="gramStart"/>
      <w:r w:rsidRPr="00163CC4">
        <w:rPr>
          <w:rFonts w:asciiTheme="minorHAnsi" w:hAnsiTheme="minorHAnsi" w:cs="Arial"/>
          <w:b w:val="0"/>
          <w:color w:val="000000" w:themeColor="text1"/>
          <w:sz w:val="24"/>
        </w:rPr>
        <w:t>ekipmanı</w:t>
      </w:r>
      <w:proofErr w:type="gramEnd"/>
      <w:r w:rsidRPr="00163CC4">
        <w:rPr>
          <w:rFonts w:asciiTheme="minorHAnsi" w:hAnsiTheme="minorHAnsi" w:cs="Arial"/>
          <w:b w:val="0"/>
          <w:color w:val="000000" w:themeColor="text1"/>
          <w:sz w:val="24"/>
        </w:rPr>
        <w:t xml:space="preserve"> ve ev içi kullanım ürünleri</w:t>
      </w:r>
      <w:r w:rsidRPr="000545D1">
        <w:rPr>
          <w:rFonts w:asciiTheme="minorHAnsi" w:hAnsiTheme="minorHAnsi" w:cs="Arial"/>
          <w:b w:val="0"/>
          <w:color w:val="000000" w:themeColor="text1"/>
          <w:sz w:val="24"/>
        </w:rPr>
        <w:t xml:space="preserve">” sektörü, </w:t>
      </w:r>
      <w:r>
        <w:rPr>
          <w:rFonts w:asciiTheme="minorHAnsi" w:hAnsiTheme="minorHAnsi" w:cs="Arial"/>
          <w:b w:val="0"/>
          <w:color w:val="000000" w:themeColor="text1"/>
          <w:sz w:val="24"/>
        </w:rPr>
        <w:t>Nisan</w:t>
      </w:r>
      <w:r w:rsidRPr="000545D1">
        <w:rPr>
          <w:rFonts w:asciiTheme="minorHAnsi" w:hAnsiTheme="minorHAnsi" w:cs="Arial"/>
          <w:b w:val="0"/>
          <w:color w:val="000000" w:themeColor="text1"/>
          <w:sz w:val="24"/>
        </w:rPr>
        <w:t xml:space="preserve"> ayında perakende güveninde en fazla artış gösteren sektör oldu. AB-28 ve Euro Bölgesi ile karşılaştırıldığında Türkiye,</w:t>
      </w:r>
      <w:r w:rsidRPr="000545D1">
        <w:t xml:space="preserve"> </w:t>
      </w:r>
      <w:r w:rsidRPr="000545D1">
        <w:rPr>
          <w:rFonts w:asciiTheme="minorHAnsi" w:hAnsiTheme="minorHAnsi" w:cs="Arial"/>
          <w:b w:val="0"/>
          <w:color w:val="000000" w:themeColor="text1"/>
          <w:sz w:val="24"/>
        </w:rPr>
        <w:t>geçen yıla göre AB-28 ve Euro Bölgesi’nden daha kötü performans sergiledi.</w:t>
      </w:r>
    </w:p>
    <w:p w:rsidR="00F21270" w:rsidRPr="000545D1" w:rsidRDefault="00F21270" w:rsidP="00F21270">
      <w:pPr>
        <w:pStyle w:val="Balk2"/>
        <w:spacing w:line="240" w:lineRule="auto"/>
        <w:jc w:val="both"/>
        <w:rPr>
          <w:rFonts w:asciiTheme="minorHAnsi" w:hAnsiTheme="minorHAnsi" w:cs="Arial"/>
          <w:color w:val="0070C0"/>
          <w:sz w:val="28"/>
        </w:rPr>
      </w:pPr>
      <w:r w:rsidRPr="000545D1">
        <w:rPr>
          <w:rFonts w:asciiTheme="minorHAnsi" w:hAnsiTheme="minorHAnsi" w:cs="Arial"/>
          <w:color w:val="0070C0"/>
          <w:sz w:val="28"/>
        </w:rPr>
        <w:t xml:space="preserve">Perakende güveni </w:t>
      </w:r>
      <w:r>
        <w:rPr>
          <w:rFonts w:asciiTheme="minorHAnsi" w:hAnsiTheme="minorHAnsi" w:cs="Arial"/>
          <w:color w:val="0070C0"/>
          <w:sz w:val="28"/>
        </w:rPr>
        <w:t xml:space="preserve">geçen yıla ve </w:t>
      </w:r>
      <w:r w:rsidRPr="000545D1">
        <w:rPr>
          <w:rFonts w:asciiTheme="minorHAnsi" w:hAnsiTheme="minorHAnsi" w:cs="Arial"/>
          <w:color w:val="0070C0"/>
          <w:sz w:val="28"/>
        </w:rPr>
        <w:t>geçen aya kıyasla a</w:t>
      </w:r>
      <w:r>
        <w:rPr>
          <w:rFonts w:asciiTheme="minorHAnsi" w:hAnsiTheme="minorHAnsi" w:cs="Arial"/>
          <w:color w:val="0070C0"/>
          <w:sz w:val="28"/>
        </w:rPr>
        <w:t>zaldı</w:t>
      </w:r>
    </w:p>
    <w:p w:rsidR="00F21270" w:rsidRPr="0089439F" w:rsidRDefault="00F21270" w:rsidP="00F21270">
      <w:pPr>
        <w:pStyle w:val="Balk2"/>
        <w:spacing w:before="0" w:after="240" w:line="240" w:lineRule="atLeast"/>
        <w:jc w:val="both"/>
        <w:rPr>
          <w:rFonts w:asciiTheme="minorHAnsi" w:hAnsiTheme="minorHAnsi" w:cs="Arial"/>
          <w:b w:val="0"/>
          <w:color w:val="0070C0"/>
          <w:sz w:val="24"/>
        </w:rPr>
      </w:pPr>
      <w:r>
        <w:rPr>
          <w:rFonts w:asciiTheme="minorHAnsi" w:hAnsiTheme="minorHAnsi" w:cs="Arial"/>
          <w:b w:val="0"/>
          <w:color w:val="0070C0"/>
          <w:sz w:val="24"/>
        </w:rPr>
        <w:t>Nisan</w:t>
      </w:r>
      <w:r w:rsidRPr="000545D1">
        <w:rPr>
          <w:rFonts w:asciiTheme="minorHAnsi" w:hAnsiTheme="minorHAnsi" w:cs="Arial"/>
          <w:b w:val="0"/>
          <w:color w:val="0070C0"/>
          <w:sz w:val="24"/>
        </w:rPr>
        <w:t xml:space="preserve"> ayında -</w:t>
      </w:r>
      <w:r>
        <w:rPr>
          <w:rFonts w:asciiTheme="minorHAnsi" w:hAnsiTheme="minorHAnsi" w:cs="Arial"/>
          <w:b w:val="0"/>
          <w:color w:val="0070C0"/>
          <w:sz w:val="24"/>
        </w:rPr>
        <w:t>19,5</w:t>
      </w:r>
      <w:r w:rsidRPr="000545D1">
        <w:rPr>
          <w:rFonts w:asciiTheme="minorHAnsi" w:hAnsiTheme="minorHAnsi" w:cs="Arial"/>
          <w:b w:val="0"/>
          <w:color w:val="0070C0"/>
          <w:sz w:val="24"/>
        </w:rPr>
        <w:t xml:space="preserve"> puan değerini alan TEPE, geçen yılın aynı dönemine göre </w:t>
      </w:r>
      <w:r>
        <w:rPr>
          <w:rFonts w:asciiTheme="minorHAnsi" w:hAnsiTheme="minorHAnsi" w:cs="Arial"/>
          <w:b w:val="0"/>
          <w:color w:val="0070C0"/>
          <w:sz w:val="24"/>
        </w:rPr>
        <w:t>4,0</w:t>
      </w:r>
      <w:r w:rsidRPr="000545D1">
        <w:rPr>
          <w:rFonts w:asciiTheme="minorHAnsi" w:hAnsiTheme="minorHAnsi" w:cs="Arial"/>
          <w:b w:val="0"/>
          <w:color w:val="0070C0"/>
          <w:sz w:val="24"/>
        </w:rPr>
        <w:t xml:space="preserve"> puan, geçen aya göre </w:t>
      </w:r>
      <w:r>
        <w:rPr>
          <w:rFonts w:asciiTheme="minorHAnsi" w:hAnsiTheme="minorHAnsi" w:cs="Arial"/>
          <w:b w:val="0"/>
          <w:color w:val="0070C0"/>
          <w:sz w:val="24"/>
        </w:rPr>
        <w:t>4,5</w:t>
      </w:r>
      <w:r w:rsidRPr="000545D1">
        <w:rPr>
          <w:rFonts w:asciiTheme="minorHAnsi" w:hAnsiTheme="minorHAnsi" w:cs="Arial"/>
          <w:b w:val="0"/>
          <w:color w:val="0070C0"/>
          <w:sz w:val="24"/>
        </w:rPr>
        <w:t xml:space="preserve"> puan a</w:t>
      </w:r>
      <w:r>
        <w:rPr>
          <w:rFonts w:asciiTheme="minorHAnsi" w:hAnsiTheme="minorHAnsi" w:cs="Arial"/>
          <w:b w:val="0"/>
          <w:color w:val="0070C0"/>
          <w:sz w:val="24"/>
        </w:rPr>
        <w:t>zaldı</w:t>
      </w:r>
      <w:r w:rsidRPr="000545D1">
        <w:rPr>
          <w:rFonts w:asciiTheme="minorHAnsi" w:hAnsiTheme="minorHAnsi" w:cs="Arial"/>
          <w:b w:val="0"/>
          <w:color w:val="0070C0"/>
          <w:sz w:val="24"/>
        </w:rPr>
        <w:t xml:space="preserve">. TEPE değerinin </w:t>
      </w:r>
      <w:r>
        <w:rPr>
          <w:rFonts w:asciiTheme="minorHAnsi" w:hAnsiTheme="minorHAnsi" w:cs="Arial"/>
          <w:b w:val="0"/>
          <w:color w:val="0070C0"/>
          <w:sz w:val="24"/>
        </w:rPr>
        <w:t xml:space="preserve">geçen yıla ve </w:t>
      </w:r>
      <w:r w:rsidRPr="000545D1">
        <w:rPr>
          <w:rFonts w:asciiTheme="minorHAnsi" w:hAnsiTheme="minorHAnsi" w:cs="Arial"/>
          <w:b w:val="0"/>
          <w:color w:val="0070C0"/>
          <w:sz w:val="24"/>
        </w:rPr>
        <w:t>geçen aya</w:t>
      </w:r>
      <w:r>
        <w:rPr>
          <w:rFonts w:asciiTheme="minorHAnsi" w:hAnsiTheme="minorHAnsi" w:cs="Arial"/>
          <w:b w:val="0"/>
          <w:color w:val="0070C0"/>
          <w:sz w:val="24"/>
        </w:rPr>
        <w:t xml:space="preserve"> </w:t>
      </w:r>
      <w:r w:rsidRPr="000545D1">
        <w:rPr>
          <w:rFonts w:asciiTheme="minorHAnsi" w:hAnsiTheme="minorHAnsi" w:cs="Arial"/>
          <w:b w:val="0"/>
          <w:color w:val="0070C0"/>
          <w:sz w:val="24"/>
        </w:rPr>
        <w:t>göre a</w:t>
      </w:r>
      <w:r>
        <w:rPr>
          <w:rFonts w:asciiTheme="minorHAnsi" w:hAnsiTheme="minorHAnsi" w:cs="Arial"/>
          <w:b w:val="0"/>
          <w:color w:val="0070C0"/>
          <w:sz w:val="24"/>
        </w:rPr>
        <w:t>zalışında</w:t>
      </w:r>
      <w:r w:rsidRPr="000545D1">
        <w:rPr>
          <w:rFonts w:asciiTheme="minorHAnsi" w:hAnsiTheme="minorHAnsi" w:cs="Arial"/>
          <w:b w:val="0"/>
          <w:color w:val="0070C0"/>
          <w:sz w:val="24"/>
        </w:rPr>
        <w:t xml:space="preserve"> geçtiğimiz 3 ayda işlerin gelişimi ve önümüzdeki 3 ayda satış beklentisi göstergelerindeki </w:t>
      </w:r>
      <w:r>
        <w:rPr>
          <w:rFonts w:asciiTheme="minorHAnsi" w:hAnsiTheme="minorHAnsi" w:cs="Arial"/>
          <w:b w:val="0"/>
          <w:color w:val="0070C0"/>
          <w:sz w:val="24"/>
        </w:rPr>
        <w:t>kötüleşme</w:t>
      </w:r>
      <w:r w:rsidRPr="000545D1">
        <w:rPr>
          <w:rFonts w:asciiTheme="minorHAnsi" w:hAnsiTheme="minorHAnsi" w:cs="Arial"/>
          <w:b w:val="0"/>
          <w:color w:val="0070C0"/>
          <w:sz w:val="24"/>
        </w:rPr>
        <w:t xml:space="preserve"> etkili oldu.</w:t>
      </w:r>
    </w:p>
    <w:p w:rsidR="00F21270" w:rsidRDefault="00F21270" w:rsidP="00F21270">
      <w:pPr>
        <w:tabs>
          <w:tab w:val="left" w:pos="8258"/>
        </w:tabs>
        <w:spacing w:after="0" w:line="240" w:lineRule="atLeast"/>
      </w:pPr>
      <w:r w:rsidRPr="00662EBC">
        <w:rPr>
          <w:b/>
        </w:rPr>
        <w:t>Şekil-</w:t>
      </w:r>
      <w:r>
        <w:rPr>
          <w:b/>
        </w:rPr>
        <w:t>1</w:t>
      </w:r>
      <w:r w:rsidRPr="00662EBC">
        <w:rPr>
          <w:b/>
        </w:rPr>
        <w:t>.</w:t>
      </w:r>
      <w:r w:rsidRPr="00662EBC">
        <w:t xml:space="preserve"> TEPE (</w:t>
      </w:r>
      <w:r>
        <w:t>Nisan 2018</w:t>
      </w:r>
      <w:r w:rsidRPr="00662EBC">
        <w:t xml:space="preserve"> –</w:t>
      </w:r>
      <w:r>
        <w:t xml:space="preserve"> Nisan 2019</w:t>
      </w:r>
      <w:r w:rsidRPr="00662EBC">
        <w:t>)</w:t>
      </w:r>
      <w:r>
        <w:rPr>
          <w:rStyle w:val="DipnotBavurusu"/>
        </w:rPr>
        <w:footnoteReference w:id="4"/>
      </w:r>
      <w:r w:rsidRPr="00BF4AF3">
        <w:rPr>
          <w:noProof/>
        </w:rPr>
        <w:t xml:space="preserve"> </w:t>
      </w:r>
      <w:r>
        <w:rPr>
          <w:noProof/>
        </w:rPr>
        <w:drawing>
          <wp:inline distT="0" distB="0" distL="0" distR="0" wp14:anchorId="3601BF98" wp14:editId="7C1FEE7A">
            <wp:extent cx="5759450" cy="2584369"/>
            <wp:effectExtent l="0" t="0" r="12700" b="26035"/>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21270" w:rsidRPr="003127E7" w:rsidRDefault="00F21270" w:rsidP="00F21270">
      <w:pPr>
        <w:tabs>
          <w:tab w:val="left" w:pos="8258"/>
        </w:tabs>
        <w:spacing w:before="240" w:after="0" w:line="240" w:lineRule="auto"/>
        <w:jc w:val="both"/>
      </w:pPr>
      <w:r w:rsidRPr="00662EBC">
        <w:rPr>
          <w:b/>
        </w:rPr>
        <w:t>Tablo-1.</w:t>
      </w:r>
      <w:r>
        <w:t xml:space="preserve"> TEPE, Aylık Seri</w:t>
      </w:r>
    </w:p>
    <w:tbl>
      <w:tblPr>
        <w:tblStyle w:val="OrtaKlavuz3-Vurgu1"/>
        <w:tblW w:w="10475" w:type="dxa"/>
        <w:jc w:val="center"/>
        <w:tblLook w:val="04A0" w:firstRow="1" w:lastRow="0" w:firstColumn="1" w:lastColumn="0" w:noHBand="0" w:noVBand="1"/>
      </w:tblPr>
      <w:tblGrid>
        <w:gridCol w:w="680"/>
        <w:gridCol w:w="705"/>
        <w:gridCol w:w="806"/>
        <w:gridCol w:w="691"/>
        <w:gridCol w:w="777"/>
        <w:gridCol w:w="789"/>
        <w:gridCol w:w="950"/>
        <w:gridCol w:w="1038"/>
        <w:gridCol w:w="1027"/>
        <w:gridCol w:w="713"/>
        <w:gridCol w:w="713"/>
        <w:gridCol w:w="832"/>
        <w:gridCol w:w="754"/>
      </w:tblGrid>
      <w:tr w:rsidR="00F21270" w:rsidRPr="003127E7" w:rsidTr="00954A7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F21270" w:rsidRPr="003127E7" w:rsidRDefault="00F21270" w:rsidP="00954A74">
            <w:pPr>
              <w:spacing w:after="0" w:line="240" w:lineRule="auto"/>
              <w:jc w:val="center"/>
              <w:rPr>
                <w:rFonts w:asciiTheme="minorHAnsi" w:eastAsia="Times New Roman" w:hAnsiTheme="minorHAnsi" w:cs="Arial"/>
                <w:bCs w:val="0"/>
                <w:color w:val="000000" w:themeColor="text1"/>
              </w:rPr>
            </w:pPr>
          </w:p>
        </w:tc>
        <w:tc>
          <w:tcPr>
            <w:tcW w:w="705"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Ocak</w:t>
            </w:r>
          </w:p>
        </w:tc>
        <w:tc>
          <w:tcPr>
            <w:tcW w:w="806"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Şubat</w:t>
            </w:r>
          </w:p>
        </w:tc>
        <w:tc>
          <w:tcPr>
            <w:tcW w:w="691"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Mart</w:t>
            </w:r>
          </w:p>
        </w:tc>
        <w:tc>
          <w:tcPr>
            <w:tcW w:w="777"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Nisan</w:t>
            </w:r>
          </w:p>
        </w:tc>
        <w:tc>
          <w:tcPr>
            <w:tcW w:w="789"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Mayıs</w:t>
            </w:r>
          </w:p>
        </w:tc>
        <w:tc>
          <w:tcPr>
            <w:tcW w:w="950"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Haziran</w:t>
            </w:r>
          </w:p>
        </w:tc>
        <w:tc>
          <w:tcPr>
            <w:tcW w:w="1038"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Temmuz</w:t>
            </w:r>
          </w:p>
        </w:tc>
        <w:tc>
          <w:tcPr>
            <w:tcW w:w="1027"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Ağustos</w:t>
            </w:r>
          </w:p>
        </w:tc>
        <w:tc>
          <w:tcPr>
            <w:tcW w:w="713"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Eylül</w:t>
            </w:r>
          </w:p>
        </w:tc>
        <w:tc>
          <w:tcPr>
            <w:tcW w:w="713"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Ekim</w:t>
            </w:r>
          </w:p>
        </w:tc>
        <w:tc>
          <w:tcPr>
            <w:tcW w:w="832"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Kasım</w:t>
            </w:r>
          </w:p>
        </w:tc>
        <w:tc>
          <w:tcPr>
            <w:tcW w:w="754" w:type="dxa"/>
            <w:noWrap/>
            <w:vAlign w:val="center"/>
            <w:hideMark/>
          </w:tcPr>
          <w:p w:rsidR="00F21270" w:rsidRPr="00346335" w:rsidRDefault="00F21270" w:rsidP="00954A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rPr>
            </w:pPr>
            <w:r w:rsidRPr="00346335">
              <w:rPr>
                <w:rFonts w:asciiTheme="minorHAnsi" w:eastAsia="Times New Roman" w:hAnsiTheme="minorHAnsi" w:cs="Arial"/>
                <w:color w:val="000000" w:themeColor="text1"/>
              </w:rPr>
              <w:t>Aralık</w:t>
            </w:r>
          </w:p>
        </w:tc>
      </w:tr>
      <w:tr w:rsidR="00F21270" w:rsidRPr="005430E8" w:rsidTr="00954A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F21270" w:rsidRPr="003127E7" w:rsidRDefault="00F21270" w:rsidP="00954A74">
            <w:pPr>
              <w:spacing w:after="0" w:line="240" w:lineRule="auto"/>
              <w:jc w:val="center"/>
              <w:rPr>
                <w:rFonts w:asciiTheme="minorHAnsi" w:eastAsia="Times New Roman" w:hAnsiTheme="minorHAnsi" w:cs="Arial"/>
                <w:color w:val="000000"/>
              </w:rPr>
            </w:pPr>
            <w:r>
              <w:rPr>
                <w:rFonts w:asciiTheme="minorHAnsi" w:eastAsia="Times New Roman" w:hAnsiTheme="minorHAnsi" w:cs="Arial"/>
                <w:color w:val="000000"/>
              </w:rPr>
              <w:t>2017</w:t>
            </w:r>
          </w:p>
        </w:tc>
        <w:tc>
          <w:tcPr>
            <w:tcW w:w="705"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-15,2</w:t>
            </w:r>
          </w:p>
        </w:tc>
        <w:tc>
          <w:tcPr>
            <w:tcW w:w="806"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-25,7</w:t>
            </w:r>
          </w:p>
        </w:tc>
        <w:tc>
          <w:tcPr>
            <w:tcW w:w="691"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-17,2</w:t>
            </w:r>
          </w:p>
        </w:tc>
        <w:tc>
          <w:tcPr>
            <w:tcW w:w="777"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-18,1</w:t>
            </w:r>
          </w:p>
        </w:tc>
        <w:tc>
          <w:tcPr>
            <w:tcW w:w="789"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-15,0</w:t>
            </w:r>
          </w:p>
        </w:tc>
        <w:tc>
          <w:tcPr>
            <w:tcW w:w="950"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-16,5</w:t>
            </w:r>
          </w:p>
        </w:tc>
        <w:tc>
          <w:tcPr>
            <w:tcW w:w="1038"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-20,0</w:t>
            </w:r>
          </w:p>
        </w:tc>
        <w:tc>
          <w:tcPr>
            <w:tcW w:w="1027"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-17,6</w:t>
            </w:r>
          </w:p>
        </w:tc>
        <w:tc>
          <w:tcPr>
            <w:tcW w:w="713"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-16,9</w:t>
            </w:r>
          </w:p>
        </w:tc>
        <w:tc>
          <w:tcPr>
            <w:tcW w:w="713"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-12,9</w:t>
            </w:r>
          </w:p>
        </w:tc>
        <w:tc>
          <w:tcPr>
            <w:tcW w:w="832"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-15,5</w:t>
            </w:r>
          </w:p>
        </w:tc>
        <w:tc>
          <w:tcPr>
            <w:tcW w:w="754"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-14,5</w:t>
            </w:r>
          </w:p>
        </w:tc>
      </w:tr>
      <w:tr w:rsidR="00F21270" w:rsidRPr="00AD7D54" w:rsidTr="00954A74">
        <w:trPr>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F21270" w:rsidRDefault="00F21270" w:rsidP="00954A74">
            <w:pPr>
              <w:spacing w:after="0" w:line="240" w:lineRule="auto"/>
              <w:jc w:val="center"/>
              <w:rPr>
                <w:rFonts w:asciiTheme="minorHAnsi" w:eastAsia="Times New Roman" w:hAnsiTheme="minorHAnsi" w:cs="Arial"/>
                <w:color w:val="000000"/>
              </w:rPr>
            </w:pPr>
            <w:r>
              <w:rPr>
                <w:rFonts w:asciiTheme="minorHAnsi" w:eastAsia="Times New Roman" w:hAnsiTheme="minorHAnsi" w:cs="Arial"/>
                <w:color w:val="000000"/>
              </w:rPr>
              <w:t>2018</w:t>
            </w:r>
          </w:p>
        </w:tc>
        <w:tc>
          <w:tcPr>
            <w:tcW w:w="705"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-13,8</w:t>
            </w:r>
          </w:p>
        </w:tc>
        <w:tc>
          <w:tcPr>
            <w:tcW w:w="806"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-10,6</w:t>
            </w:r>
          </w:p>
        </w:tc>
        <w:tc>
          <w:tcPr>
            <w:tcW w:w="691"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-12,4</w:t>
            </w:r>
          </w:p>
        </w:tc>
        <w:tc>
          <w:tcPr>
            <w:tcW w:w="777"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-15,5</w:t>
            </w:r>
          </w:p>
        </w:tc>
        <w:tc>
          <w:tcPr>
            <w:tcW w:w="789"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-16,1</w:t>
            </w:r>
          </w:p>
        </w:tc>
        <w:tc>
          <w:tcPr>
            <w:tcW w:w="950"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-15,2</w:t>
            </w:r>
          </w:p>
        </w:tc>
        <w:tc>
          <w:tcPr>
            <w:tcW w:w="1038"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-11,5</w:t>
            </w:r>
          </w:p>
        </w:tc>
        <w:tc>
          <w:tcPr>
            <w:tcW w:w="1027"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-15,3</w:t>
            </w:r>
          </w:p>
        </w:tc>
        <w:tc>
          <w:tcPr>
            <w:tcW w:w="713"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-15,6</w:t>
            </w:r>
          </w:p>
        </w:tc>
        <w:tc>
          <w:tcPr>
            <w:tcW w:w="713"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-15,9</w:t>
            </w:r>
          </w:p>
        </w:tc>
        <w:tc>
          <w:tcPr>
            <w:tcW w:w="832"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-17,2</w:t>
            </w:r>
          </w:p>
        </w:tc>
        <w:tc>
          <w:tcPr>
            <w:tcW w:w="754" w:type="dxa"/>
            <w:noWrap/>
            <w:vAlign w:val="bottom"/>
          </w:tcPr>
          <w:p w:rsidR="00F21270" w:rsidRDefault="00F21270" w:rsidP="00954A7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-6,2</w:t>
            </w:r>
          </w:p>
        </w:tc>
      </w:tr>
      <w:tr w:rsidR="00F21270" w:rsidRPr="002A04C6" w:rsidTr="00954A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rsidR="00F21270" w:rsidRDefault="00F21270" w:rsidP="00954A74">
            <w:pPr>
              <w:spacing w:after="0" w:line="240" w:lineRule="auto"/>
              <w:jc w:val="right"/>
              <w:rPr>
                <w:rFonts w:asciiTheme="minorHAnsi" w:eastAsia="Times New Roman" w:hAnsiTheme="minorHAnsi" w:cs="Arial"/>
                <w:color w:val="000000"/>
              </w:rPr>
            </w:pPr>
            <w:r>
              <w:rPr>
                <w:rFonts w:asciiTheme="minorHAnsi" w:eastAsia="Times New Roman" w:hAnsiTheme="minorHAnsi" w:cs="Arial"/>
                <w:color w:val="000000"/>
              </w:rPr>
              <w:t>2019</w:t>
            </w:r>
          </w:p>
        </w:tc>
        <w:tc>
          <w:tcPr>
            <w:tcW w:w="705"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-18,1</w:t>
            </w:r>
          </w:p>
        </w:tc>
        <w:tc>
          <w:tcPr>
            <w:tcW w:w="806"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-25,6</w:t>
            </w:r>
          </w:p>
        </w:tc>
        <w:tc>
          <w:tcPr>
            <w:tcW w:w="691"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-15,0</w:t>
            </w:r>
          </w:p>
        </w:tc>
        <w:tc>
          <w:tcPr>
            <w:tcW w:w="777" w:type="dxa"/>
            <w:noWrap/>
            <w:vAlign w:val="bottom"/>
          </w:tcPr>
          <w:p w:rsidR="00F21270"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-19,5</w:t>
            </w:r>
          </w:p>
        </w:tc>
        <w:tc>
          <w:tcPr>
            <w:tcW w:w="789"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950"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38"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027"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13"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13"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832" w:type="dxa"/>
            <w:noWrap/>
            <w:vAlign w:val="bottom"/>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754" w:type="dxa"/>
            <w:noWrap/>
            <w:vAlign w:val="center"/>
          </w:tcPr>
          <w:p w:rsidR="00F21270" w:rsidRPr="004936AA" w:rsidRDefault="00F21270" w:rsidP="00954A7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rPr>
            </w:pPr>
          </w:p>
        </w:tc>
      </w:tr>
    </w:tbl>
    <w:p w:rsidR="00F21270" w:rsidRPr="00F21270" w:rsidRDefault="00F21270" w:rsidP="00F21270"/>
    <w:p w:rsidR="007C2487" w:rsidRDefault="007C2487">
      <w:pPr>
        <w:spacing w:after="160" w:line="259" w:lineRule="auto"/>
        <w:rPr>
          <w:b/>
        </w:rPr>
      </w:pPr>
      <w:r>
        <w:rPr>
          <w:b/>
        </w:rPr>
        <w:br w:type="page"/>
      </w:r>
    </w:p>
    <w:p w:rsidR="00F21270" w:rsidRPr="00F21270" w:rsidRDefault="00F21270" w:rsidP="00F21270">
      <w:pPr>
        <w:pStyle w:val="Balk2"/>
        <w:spacing w:before="0"/>
        <w:jc w:val="both"/>
        <w:rPr>
          <w:rFonts w:asciiTheme="minorHAnsi" w:hAnsiTheme="minorHAnsi" w:cs="Arial"/>
          <w:color w:val="FF0000"/>
          <w:sz w:val="28"/>
        </w:rPr>
      </w:pPr>
      <w:r w:rsidRPr="00F21270">
        <w:rPr>
          <w:rFonts w:asciiTheme="minorHAnsi" w:hAnsiTheme="minorHAnsi" w:cs="Arial"/>
          <w:color w:val="FF0000"/>
          <w:sz w:val="28"/>
        </w:rPr>
        <w:lastRenderedPageBreak/>
        <w:t xml:space="preserve">Perakende güveni en fazla artan sektör “mobilya, aydınlatma </w:t>
      </w:r>
      <w:proofErr w:type="gramStart"/>
      <w:r w:rsidRPr="00F21270">
        <w:rPr>
          <w:rFonts w:asciiTheme="minorHAnsi" w:hAnsiTheme="minorHAnsi" w:cs="Arial"/>
          <w:color w:val="FF0000"/>
          <w:sz w:val="28"/>
        </w:rPr>
        <w:t>ekipmanı</w:t>
      </w:r>
      <w:proofErr w:type="gramEnd"/>
      <w:r w:rsidRPr="00F21270">
        <w:rPr>
          <w:rFonts w:asciiTheme="minorHAnsi" w:hAnsiTheme="minorHAnsi" w:cs="Arial"/>
          <w:color w:val="FF0000"/>
          <w:sz w:val="28"/>
        </w:rPr>
        <w:t xml:space="preserve"> ve ev içi kullanım ürünleri” oldu</w:t>
      </w:r>
    </w:p>
    <w:p w:rsidR="00F21270" w:rsidRPr="00F21270" w:rsidRDefault="00F21270" w:rsidP="00F21270">
      <w:pPr>
        <w:pStyle w:val="Balk2"/>
        <w:spacing w:before="0"/>
        <w:jc w:val="both"/>
        <w:rPr>
          <w:rFonts w:asciiTheme="minorHAnsi" w:hAnsiTheme="minorHAnsi" w:cs="Arial"/>
          <w:b w:val="0"/>
          <w:color w:val="auto"/>
          <w:sz w:val="24"/>
        </w:rPr>
      </w:pPr>
      <w:r w:rsidRPr="00F21270">
        <w:rPr>
          <w:rFonts w:asciiTheme="minorHAnsi" w:hAnsiTheme="minorHAnsi" w:cs="Arial"/>
          <w:b w:val="0"/>
          <w:color w:val="auto"/>
          <w:sz w:val="24"/>
        </w:rPr>
        <w:t xml:space="preserve">Perakende güvenine alt sektörler itibarıyla bakıldığında Nisan 2019’da, geçen yılın aynı dönemine göre “mobilya, aydınlatma </w:t>
      </w:r>
      <w:proofErr w:type="gramStart"/>
      <w:r w:rsidRPr="00F21270">
        <w:rPr>
          <w:rFonts w:asciiTheme="minorHAnsi" w:hAnsiTheme="minorHAnsi" w:cs="Arial"/>
          <w:b w:val="0"/>
          <w:color w:val="auto"/>
          <w:sz w:val="24"/>
        </w:rPr>
        <w:t>ekipmanı</w:t>
      </w:r>
      <w:proofErr w:type="gramEnd"/>
      <w:r w:rsidRPr="00F21270">
        <w:rPr>
          <w:rFonts w:asciiTheme="minorHAnsi" w:hAnsiTheme="minorHAnsi" w:cs="Arial"/>
          <w:b w:val="0"/>
          <w:color w:val="auto"/>
          <w:sz w:val="24"/>
        </w:rPr>
        <w:t xml:space="preserve"> ve ev içi kullanım ürünleri”, “elektrikli ev aletleri, radyo ve televizyonlar” ve “yiyecek, içecek ve tütün ürünleri” sektörlerinde artış; “birden fazla türde ürün satan bakkal, market ve büyük mağazalar”, “diğer (akaryakıt istasyonu, eczane, parfümeri, nalbur, </w:t>
      </w:r>
      <w:proofErr w:type="spellStart"/>
      <w:r w:rsidRPr="00F21270">
        <w:rPr>
          <w:rFonts w:asciiTheme="minorHAnsi" w:hAnsiTheme="minorHAnsi" w:cs="Arial"/>
          <w:b w:val="0"/>
          <w:color w:val="auto"/>
          <w:sz w:val="24"/>
        </w:rPr>
        <w:t>züccaciye</w:t>
      </w:r>
      <w:proofErr w:type="spellEnd"/>
      <w:r w:rsidRPr="00F21270">
        <w:rPr>
          <w:rFonts w:asciiTheme="minorHAnsi" w:hAnsiTheme="minorHAnsi" w:cs="Arial"/>
          <w:b w:val="0"/>
          <w:color w:val="auto"/>
          <w:sz w:val="24"/>
        </w:rPr>
        <w:t xml:space="preserve">, kırtasiye, vb.)”, “motorlu taşıtlar” ve “tekstil, hazır giyim ve ayakkabı” sektörlerinde azalış gösterdi. “Mobilya, aydınlatma </w:t>
      </w:r>
      <w:proofErr w:type="gramStart"/>
      <w:r w:rsidRPr="00F21270">
        <w:rPr>
          <w:rFonts w:asciiTheme="minorHAnsi" w:hAnsiTheme="minorHAnsi" w:cs="Arial"/>
          <w:b w:val="0"/>
          <w:color w:val="auto"/>
          <w:sz w:val="24"/>
        </w:rPr>
        <w:t>ekipmanı</w:t>
      </w:r>
      <w:proofErr w:type="gramEnd"/>
      <w:r w:rsidRPr="00F21270">
        <w:rPr>
          <w:rFonts w:asciiTheme="minorHAnsi" w:hAnsiTheme="minorHAnsi" w:cs="Arial"/>
          <w:b w:val="0"/>
          <w:color w:val="auto"/>
          <w:sz w:val="24"/>
        </w:rPr>
        <w:t xml:space="preserve"> ve ev içi kullanım ürünleri”, “elektrikli ev aletleri, radyo ve televizyonlar”, “yiyecek, içecek ve tütün ürünleri” ve “birden fazla türde ürün satan bakkal, market ve büyük mağazalar” sektörleri ortalamanın üzerinde değer aldı. “Tekstil, hazır giyim ve ayakkabı” sektörü perakende güveninde en fazla azalış gösteren sektör oldu. </w:t>
      </w:r>
    </w:p>
    <w:p w:rsidR="00F21270" w:rsidRDefault="00F21270" w:rsidP="00F21270">
      <w:pPr>
        <w:tabs>
          <w:tab w:val="left" w:pos="8258"/>
        </w:tabs>
        <w:spacing w:before="240" w:after="0"/>
        <w:jc w:val="both"/>
      </w:pPr>
      <w:r w:rsidRPr="007F7A5F">
        <w:rPr>
          <w:b/>
        </w:rPr>
        <w:t>Şekil-</w:t>
      </w:r>
      <w:r>
        <w:rPr>
          <w:b/>
        </w:rPr>
        <w:t>4</w:t>
      </w:r>
      <w:r w:rsidRPr="007F7A5F">
        <w:rPr>
          <w:b/>
        </w:rPr>
        <w:t>.</w:t>
      </w:r>
      <w:r w:rsidRPr="007F7A5F">
        <w:t xml:space="preserve"> Alt sektör bazında </w:t>
      </w:r>
      <w:proofErr w:type="spellStart"/>
      <w:r w:rsidRPr="007F7A5F">
        <w:t>TEPE’nin</w:t>
      </w:r>
      <w:proofErr w:type="spellEnd"/>
      <w:r w:rsidRPr="007F7A5F">
        <w:t xml:space="preserve"> </w:t>
      </w:r>
      <w:r>
        <w:t>Nisan 2019’da</w:t>
      </w:r>
      <w:r w:rsidRPr="007F7A5F">
        <w:t xml:space="preserve"> </w:t>
      </w:r>
      <w:r>
        <w:t>geçen</w:t>
      </w:r>
      <w:r w:rsidRPr="007F7A5F">
        <w:t xml:space="preserve"> yılın ayn</w:t>
      </w:r>
      <w:r>
        <w:t>ı dönemine göre değişimi (puan)</w:t>
      </w:r>
    </w:p>
    <w:p w:rsidR="007A2C3D" w:rsidRPr="007A2C3D" w:rsidRDefault="00F21270" w:rsidP="007A2C3D">
      <w:pPr>
        <w:pStyle w:val="rresim"/>
        <w:rPr>
          <w:b/>
        </w:rPr>
      </w:pPr>
      <w:r>
        <w:rPr>
          <w:noProof/>
        </w:rPr>
        <w:drawing>
          <wp:inline distT="0" distB="0" distL="0" distR="0" wp14:anchorId="360D562E" wp14:editId="38AFE540">
            <wp:extent cx="5759450" cy="3082402"/>
            <wp:effectExtent l="0" t="0" r="12700" b="2286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21270" w:rsidRPr="00F21270" w:rsidRDefault="00F21270" w:rsidP="00F21270">
      <w:pPr>
        <w:pStyle w:val="Balk2"/>
        <w:spacing w:before="0"/>
        <w:jc w:val="both"/>
        <w:rPr>
          <w:rFonts w:asciiTheme="minorHAnsi" w:hAnsiTheme="minorHAnsi" w:cs="Arial"/>
          <w:color w:val="FF0000"/>
          <w:sz w:val="28"/>
        </w:rPr>
      </w:pPr>
      <w:r w:rsidRPr="00F21270">
        <w:rPr>
          <w:rFonts w:asciiTheme="minorHAnsi" w:hAnsiTheme="minorHAnsi" w:cs="Arial"/>
          <w:color w:val="FF0000"/>
          <w:sz w:val="28"/>
        </w:rPr>
        <w:t>Perakendecilerin beklentileri olumsuz</w:t>
      </w:r>
    </w:p>
    <w:p w:rsidR="00F21270" w:rsidRPr="00F21270" w:rsidRDefault="00F21270" w:rsidP="00F21270">
      <w:pPr>
        <w:pStyle w:val="Balk2"/>
        <w:spacing w:before="0"/>
        <w:jc w:val="both"/>
        <w:rPr>
          <w:rFonts w:asciiTheme="minorHAnsi" w:hAnsiTheme="minorHAnsi" w:cs="Arial"/>
          <w:b w:val="0"/>
          <w:color w:val="auto"/>
          <w:sz w:val="24"/>
        </w:rPr>
      </w:pPr>
      <w:r w:rsidRPr="00F21270">
        <w:rPr>
          <w:rFonts w:asciiTheme="minorHAnsi" w:hAnsiTheme="minorHAnsi" w:cs="Arial"/>
          <w:b w:val="0"/>
          <w:color w:val="auto"/>
          <w:sz w:val="24"/>
        </w:rPr>
        <w:t>TEPE anketine soru bazında bakıldığında Nisan 2019’da, “geçtiğimiz 3 ayda işlerin durumu”,  “önümüzdeki 3 ayda tedarikçilerden sipariş, satış ve istihdam beklentileri”, “işlerin geçen yıla göre durumu”  ve “gelecek yıl mağaza sayısı beklentisi” göstergeleri hem Nisan 2018’e göre hem de Mart 2019’a göre azalış gösterdi. “Önümüzdeki 3 ayda satış fiyatı beklentisi” göstergesi ise Nisan 2018’e göre azalırken, Mart 2019’a göre arttı.</w:t>
      </w:r>
    </w:p>
    <w:p w:rsidR="00F21270" w:rsidRPr="003127E7" w:rsidRDefault="00F21270" w:rsidP="00F21270">
      <w:pPr>
        <w:tabs>
          <w:tab w:val="left" w:pos="5055"/>
        </w:tabs>
        <w:spacing w:after="0" w:line="240" w:lineRule="auto"/>
        <w:jc w:val="both"/>
      </w:pPr>
      <w:r w:rsidRPr="003127E7">
        <w:rPr>
          <w:b/>
        </w:rPr>
        <w:t>Tablo-</w:t>
      </w:r>
      <w:r>
        <w:rPr>
          <w:b/>
        </w:rPr>
        <w:t>4</w:t>
      </w:r>
      <w:r w:rsidRPr="003127E7">
        <w:rPr>
          <w:b/>
        </w:rPr>
        <w:t>.</w:t>
      </w:r>
      <w:r w:rsidRPr="003127E7">
        <w:t xml:space="preserve"> TEPE soru bazında detaylı sonuçlar</w:t>
      </w:r>
      <w:r>
        <w:t xml:space="preserve"> (puan</w:t>
      </w:r>
      <w:r w:rsidRPr="003127E7">
        <w:t xml:space="preserve">) </w:t>
      </w:r>
    </w:p>
    <w:tbl>
      <w:tblPr>
        <w:tblW w:w="5464" w:type="pct"/>
        <w:tblInd w:w="-410"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3213"/>
        <w:gridCol w:w="1135"/>
        <w:gridCol w:w="991"/>
        <w:gridCol w:w="1135"/>
        <w:gridCol w:w="1559"/>
        <w:gridCol w:w="2117"/>
      </w:tblGrid>
      <w:tr w:rsidR="00F21270" w:rsidRPr="00197B4F" w:rsidTr="00954A74">
        <w:tc>
          <w:tcPr>
            <w:tcW w:w="1583" w:type="pct"/>
            <w:tcBorders>
              <w:top w:val="nil"/>
              <w:left w:val="nil"/>
              <w:bottom w:val="single" w:sz="24" w:space="0" w:color="4BACC6"/>
              <w:right w:val="nil"/>
            </w:tcBorders>
            <w:shd w:val="clear" w:color="auto" w:fill="FFFFFF"/>
            <w:noWrap/>
            <w:vAlign w:val="center"/>
          </w:tcPr>
          <w:p w:rsidR="00F21270" w:rsidRPr="00F31BC3" w:rsidRDefault="00F21270" w:rsidP="00954A74">
            <w:pPr>
              <w:spacing w:after="0" w:line="240" w:lineRule="auto"/>
              <w:rPr>
                <w:rFonts w:cs="Arial"/>
                <w:b/>
                <w:szCs w:val="20"/>
              </w:rPr>
            </w:pPr>
            <w:r w:rsidRPr="00F31BC3">
              <w:rPr>
                <w:rFonts w:cs="Arial"/>
                <w:b/>
                <w:szCs w:val="20"/>
              </w:rPr>
              <w:t>Sorular</w:t>
            </w:r>
          </w:p>
        </w:tc>
        <w:tc>
          <w:tcPr>
            <w:tcW w:w="559" w:type="pct"/>
            <w:tcBorders>
              <w:top w:val="nil"/>
              <w:left w:val="nil"/>
              <w:bottom w:val="single" w:sz="24" w:space="0" w:color="4BACC6"/>
              <w:right w:val="nil"/>
            </w:tcBorders>
            <w:shd w:val="clear" w:color="auto" w:fill="FFFFFF"/>
            <w:vAlign w:val="center"/>
          </w:tcPr>
          <w:p w:rsidR="00F21270" w:rsidRPr="00197B4F" w:rsidRDefault="00F21270" w:rsidP="00954A74">
            <w:pPr>
              <w:spacing w:after="0" w:line="240" w:lineRule="auto"/>
              <w:jc w:val="center"/>
              <w:rPr>
                <w:rFonts w:cs="Arial"/>
                <w:b/>
                <w:szCs w:val="20"/>
              </w:rPr>
            </w:pPr>
            <w:r w:rsidRPr="00197B4F">
              <w:rPr>
                <w:rFonts w:cs="Arial"/>
                <w:b/>
                <w:szCs w:val="20"/>
              </w:rPr>
              <w:t>Endeks</w:t>
            </w:r>
          </w:p>
          <w:p w:rsidR="00F21270" w:rsidRPr="00197B4F" w:rsidRDefault="00F21270" w:rsidP="00954A74">
            <w:pPr>
              <w:spacing w:after="0" w:line="240" w:lineRule="auto"/>
              <w:jc w:val="center"/>
              <w:rPr>
                <w:rFonts w:cs="Arial"/>
                <w:b/>
                <w:szCs w:val="20"/>
              </w:rPr>
            </w:pPr>
            <w:r>
              <w:rPr>
                <w:rFonts w:cs="Arial"/>
                <w:b/>
                <w:szCs w:val="20"/>
              </w:rPr>
              <w:t>04</w:t>
            </w:r>
            <w:r w:rsidRPr="00197B4F">
              <w:rPr>
                <w:rFonts w:cs="Arial"/>
                <w:b/>
                <w:szCs w:val="20"/>
              </w:rPr>
              <w:t>/201</w:t>
            </w:r>
            <w:r>
              <w:rPr>
                <w:rFonts w:cs="Arial"/>
                <w:b/>
                <w:szCs w:val="20"/>
              </w:rPr>
              <w:t>8</w:t>
            </w:r>
          </w:p>
        </w:tc>
        <w:tc>
          <w:tcPr>
            <w:tcW w:w="488" w:type="pct"/>
            <w:tcBorders>
              <w:top w:val="nil"/>
              <w:left w:val="nil"/>
              <w:bottom w:val="single" w:sz="24" w:space="0" w:color="4BACC6"/>
              <w:right w:val="nil"/>
            </w:tcBorders>
            <w:shd w:val="clear" w:color="auto" w:fill="FFFFFF"/>
            <w:vAlign w:val="center"/>
          </w:tcPr>
          <w:p w:rsidR="00F21270" w:rsidRPr="00197B4F" w:rsidRDefault="00F21270" w:rsidP="00954A74">
            <w:pPr>
              <w:spacing w:after="0" w:line="240" w:lineRule="auto"/>
              <w:jc w:val="center"/>
              <w:rPr>
                <w:rFonts w:cs="Arial"/>
                <w:b/>
                <w:szCs w:val="20"/>
              </w:rPr>
            </w:pPr>
            <w:r w:rsidRPr="00197B4F">
              <w:rPr>
                <w:rFonts w:cs="Arial"/>
                <w:b/>
                <w:szCs w:val="20"/>
              </w:rPr>
              <w:t>Endeks</w:t>
            </w:r>
          </w:p>
          <w:p w:rsidR="00F21270" w:rsidRPr="00197B4F" w:rsidRDefault="00F21270" w:rsidP="00954A74">
            <w:pPr>
              <w:spacing w:after="0" w:line="240" w:lineRule="auto"/>
              <w:jc w:val="center"/>
              <w:rPr>
                <w:rFonts w:cs="Arial"/>
                <w:b/>
                <w:szCs w:val="20"/>
              </w:rPr>
            </w:pPr>
            <w:r>
              <w:rPr>
                <w:rFonts w:cs="Arial"/>
                <w:b/>
                <w:szCs w:val="20"/>
              </w:rPr>
              <w:t>03</w:t>
            </w:r>
            <w:r w:rsidRPr="00197B4F">
              <w:rPr>
                <w:rFonts w:cs="Arial"/>
                <w:b/>
                <w:szCs w:val="20"/>
              </w:rPr>
              <w:t>/201</w:t>
            </w:r>
            <w:r>
              <w:rPr>
                <w:rFonts w:cs="Arial"/>
                <w:b/>
                <w:szCs w:val="20"/>
              </w:rPr>
              <w:t>9</w:t>
            </w:r>
          </w:p>
        </w:tc>
        <w:tc>
          <w:tcPr>
            <w:tcW w:w="559" w:type="pct"/>
            <w:tcBorders>
              <w:top w:val="nil"/>
              <w:left w:val="nil"/>
              <w:bottom w:val="single" w:sz="24" w:space="0" w:color="4BACC6"/>
              <w:right w:val="nil"/>
            </w:tcBorders>
            <w:shd w:val="clear" w:color="auto" w:fill="FFFFFF"/>
            <w:vAlign w:val="center"/>
          </w:tcPr>
          <w:p w:rsidR="00F21270" w:rsidRPr="00197B4F" w:rsidRDefault="00F21270" w:rsidP="00954A74">
            <w:pPr>
              <w:spacing w:after="0" w:line="240" w:lineRule="auto"/>
              <w:jc w:val="center"/>
              <w:rPr>
                <w:rFonts w:cs="Arial"/>
                <w:b/>
                <w:szCs w:val="20"/>
              </w:rPr>
            </w:pPr>
            <w:r w:rsidRPr="00197B4F">
              <w:rPr>
                <w:rFonts w:cs="Arial"/>
                <w:b/>
                <w:szCs w:val="20"/>
              </w:rPr>
              <w:t>Endeks</w:t>
            </w:r>
          </w:p>
          <w:p w:rsidR="00F21270" w:rsidRPr="00197B4F" w:rsidRDefault="00F21270" w:rsidP="00954A74">
            <w:pPr>
              <w:spacing w:after="0" w:line="240" w:lineRule="auto"/>
              <w:jc w:val="center"/>
              <w:rPr>
                <w:rFonts w:cs="Arial"/>
                <w:b/>
                <w:szCs w:val="20"/>
              </w:rPr>
            </w:pPr>
            <w:r>
              <w:rPr>
                <w:rFonts w:cs="Arial"/>
                <w:b/>
                <w:szCs w:val="20"/>
              </w:rPr>
              <w:t>04</w:t>
            </w:r>
            <w:r w:rsidRPr="00197B4F">
              <w:rPr>
                <w:rFonts w:cs="Arial"/>
                <w:b/>
                <w:szCs w:val="20"/>
              </w:rPr>
              <w:t>/201</w:t>
            </w:r>
            <w:r>
              <w:rPr>
                <w:rFonts w:cs="Arial"/>
                <w:b/>
                <w:szCs w:val="20"/>
              </w:rPr>
              <w:t>9</w:t>
            </w:r>
          </w:p>
        </w:tc>
        <w:tc>
          <w:tcPr>
            <w:tcW w:w="768" w:type="pct"/>
            <w:tcBorders>
              <w:top w:val="nil"/>
              <w:left w:val="nil"/>
              <w:bottom w:val="single" w:sz="24" w:space="0" w:color="4BACC6"/>
              <w:right w:val="nil"/>
            </w:tcBorders>
            <w:shd w:val="clear" w:color="auto" w:fill="FFFFFF"/>
            <w:vAlign w:val="center"/>
          </w:tcPr>
          <w:p w:rsidR="00F21270" w:rsidRPr="00197B4F" w:rsidRDefault="00F21270" w:rsidP="00954A74">
            <w:pPr>
              <w:spacing w:after="0" w:line="240" w:lineRule="auto"/>
              <w:ind w:left="32"/>
              <w:jc w:val="center"/>
              <w:rPr>
                <w:rFonts w:cs="Arial"/>
                <w:b/>
                <w:szCs w:val="20"/>
              </w:rPr>
            </w:pPr>
            <w:r w:rsidRPr="00197B4F">
              <w:rPr>
                <w:rFonts w:cs="Arial"/>
                <w:b/>
                <w:szCs w:val="20"/>
              </w:rPr>
              <w:t xml:space="preserve">Bir önceki aya göre değişim </w:t>
            </w:r>
            <w:r>
              <w:rPr>
                <w:rFonts w:cs="Arial"/>
                <w:b/>
                <w:szCs w:val="20"/>
              </w:rPr>
              <w:t>04</w:t>
            </w:r>
            <w:r w:rsidRPr="00197B4F">
              <w:rPr>
                <w:rFonts w:cs="Arial"/>
                <w:b/>
                <w:szCs w:val="20"/>
              </w:rPr>
              <w:t>/201</w:t>
            </w:r>
            <w:r>
              <w:rPr>
                <w:rFonts w:cs="Arial"/>
                <w:b/>
                <w:szCs w:val="20"/>
              </w:rPr>
              <w:t>9</w:t>
            </w:r>
          </w:p>
        </w:tc>
        <w:tc>
          <w:tcPr>
            <w:tcW w:w="1043" w:type="pct"/>
            <w:tcBorders>
              <w:top w:val="nil"/>
              <w:left w:val="nil"/>
              <w:bottom w:val="single" w:sz="24" w:space="0" w:color="4BACC6"/>
              <w:right w:val="nil"/>
            </w:tcBorders>
            <w:shd w:val="clear" w:color="auto" w:fill="FFFFFF"/>
            <w:vAlign w:val="center"/>
          </w:tcPr>
          <w:p w:rsidR="00F21270" w:rsidRPr="00197B4F" w:rsidRDefault="00F21270" w:rsidP="00954A74">
            <w:pPr>
              <w:spacing w:after="0" w:line="240" w:lineRule="auto"/>
              <w:jc w:val="center"/>
              <w:rPr>
                <w:rFonts w:cs="Arial"/>
                <w:b/>
                <w:szCs w:val="20"/>
              </w:rPr>
            </w:pPr>
            <w:r w:rsidRPr="00197B4F">
              <w:rPr>
                <w:rFonts w:cs="Arial"/>
                <w:b/>
                <w:szCs w:val="20"/>
              </w:rPr>
              <w:t>Bir önceki yılın aynı ayına göre değişim</w:t>
            </w:r>
          </w:p>
          <w:p w:rsidR="00F21270" w:rsidRPr="00197B4F" w:rsidRDefault="00F21270" w:rsidP="00954A74">
            <w:pPr>
              <w:spacing w:after="0" w:line="240" w:lineRule="auto"/>
              <w:jc w:val="center"/>
              <w:rPr>
                <w:rFonts w:cs="Arial"/>
                <w:b/>
                <w:szCs w:val="20"/>
              </w:rPr>
            </w:pPr>
            <w:r>
              <w:rPr>
                <w:rFonts w:cs="Arial"/>
                <w:b/>
                <w:szCs w:val="20"/>
              </w:rPr>
              <w:t>04</w:t>
            </w:r>
            <w:r w:rsidRPr="00197B4F">
              <w:rPr>
                <w:rFonts w:cs="Arial"/>
                <w:b/>
                <w:szCs w:val="20"/>
              </w:rPr>
              <w:t>/201</w:t>
            </w:r>
            <w:r>
              <w:rPr>
                <w:rFonts w:cs="Arial"/>
                <w:b/>
                <w:szCs w:val="20"/>
              </w:rPr>
              <w:t>9</w:t>
            </w:r>
          </w:p>
        </w:tc>
      </w:tr>
      <w:tr w:rsidR="00F21270" w:rsidRPr="003127E7" w:rsidTr="00954A74">
        <w:trPr>
          <w:trHeight w:val="494"/>
        </w:trPr>
        <w:tc>
          <w:tcPr>
            <w:tcW w:w="1583" w:type="pct"/>
            <w:tcBorders>
              <w:top w:val="nil"/>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szCs w:val="20"/>
              </w:rPr>
            </w:pPr>
            <w:r w:rsidRPr="00F31BC3">
              <w:rPr>
                <w:rFonts w:cs="Arial"/>
                <w:szCs w:val="20"/>
              </w:rPr>
              <w:t>Geçtiğimiz üç ayda işlerinizin gelişimi ne yönde oldu?</w:t>
            </w:r>
          </w:p>
        </w:tc>
        <w:tc>
          <w:tcPr>
            <w:tcW w:w="559"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-47,8</w:t>
            </w:r>
          </w:p>
        </w:tc>
        <w:tc>
          <w:tcPr>
            <w:tcW w:w="48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-48,7</w:t>
            </w:r>
          </w:p>
        </w:tc>
        <w:tc>
          <w:tcPr>
            <w:tcW w:w="559" w:type="pct"/>
            <w:tcBorders>
              <w:top w:val="nil"/>
              <w:left w:val="nil"/>
              <w:bottom w:val="nil"/>
              <w:right w:val="nil"/>
            </w:tcBorders>
            <w:shd w:val="clear" w:color="auto" w:fill="D2EAF1"/>
            <w:vAlign w:val="bottom"/>
          </w:tcPr>
          <w:p w:rsidR="00F21270" w:rsidRPr="009A1106" w:rsidRDefault="00F21270" w:rsidP="00954A74">
            <w:pPr>
              <w:jc w:val="center"/>
              <w:rPr>
                <w:rFonts w:cs="Calibri"/>
                <w:b/>
                <w:bCs/>
                <w:color w:val="000000"/>
              </w:rPr>
            </w:pPr>
            <w:r w:rsidRPr="009A1106">
              <w:rPr>
                <w:rFonts w:cs="Calibri"/>
                <w:b/>
                <w:bCs/>
                <w:color w:val="000000"/>
              </w:rPr>
              <w:t>-55,0</w:t>
            </w:r>
          </w:p>
        </w:tc>
        <w:tc>
          <w:tcPr>
            <w:tcW w:w="76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-6,3</w:t>
            </w:r>
          </w:p>
        </w:tc>
        <w:tc>
          <w:tcPr>
            <w:tcW w:w="1043" w:type="pct"/>
            <w:tcBorders>
              <w:top w:val="nil"/>
              <w:left w:val="nil"/>
              <w:bottom w:val="nil"/>
            </w:tcBorders>
            <w:shd w:val="clear" w:color="auto" w:fill="D2EAF1"/>
            <w:vAlign w:val="bottom"/>
          </w:tcPr>
          <w:p w:rsidR="00F21270" w:rsidRDefault="00F21270" w:rsidP="00954A74">
            <w:pPr>
              <w:jc w:val="center"/>
              <w:rPr>
                <w:rFonts w:cs="Calibri"/>
                <w:color w:val="000000"/>
              </w:rPr>
            </w:pPr>
            <w:r>
              <w:rPr>
                <w:rFonts w:cs="Calibri"/>
                <w:color w:val="000000"/>
              </w:rPr>
              <w:t>-7,2</w:t>
            </w:r>
          </w:p>
        </w:tc>
      </w:tr>
      <w:tr w:rsidR="00F21270" w:rsidRPr="003127E7" w:rsidTr="00954A74">
        <w:trPr>
          <w:trHeight w:val="662"/>
        </w:trPr>
        <w:tc>
          <w:tcPr>
            <w:tcW w:w="1583" w:type="pct"/>
            <w:tcBorders>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szCs w:val="20"/>
              </w:rPr>
            </w:pPr>
            <w:r w:rsidRPr="00F31BC3">
              <w:rPr>
                <w:rFonts w:cs="Arial"/>
                <w:szCs w:val="20"/>
              </w:rPr>
              <w:lastRenderedPageBreak/>
              <w:t xml:space="preserve">Mevcut stok düzeyiniz hakkında ne düşünüyorsunuz? </w:t>
            </w:r>
            <w:r w:rsidRPr="00F31BC3">
              <w:rPr>
                <w:rStyle w:val="DipnotBavurusu"/>
                <w:rFonts w:cs="Arial"/>
                <w:b/>
                <w:szCs w:val="20"/>
              </w:rPr>
              <w:footnoteReference w:id="5"/>
            </w:r>
          </w:p>
        </w:tc>
        <w:tc>
          <w:tcPr>
            <w:tcW w:w="559" w:type="pct"/>
            <w:vAlign w:val="bottom"/>
          </w:tcPr>
          <w:p w:rsidR="00F21270" w:rsidRDefault="00F21270" w:rsidP="00954A74">
            <w:pPr>
              <w:jc w:val="center"/>
              <w:rPr>
                <w:rFonts w:cs="Calibri"/>
                <w:color w:val="000000"/>
              </w:rPr>
            </w:pPr>
            <w:r>
              <w:rPr>
                <w:rFonts w:cs="Calibri"/>
                <w:color w:val="000000"/>
              </w:rPr>
              <w:t>9,8</w:t>
            </w:r>
          </w:p>
        </w:tc>
        <w:tc>
          <w:tcPr>
            <w:tcW w:w="488" w:type="pct"/>
            <w:vAlign w:val="bottom"/>
          </w:tcPr>
          <w:p w:rsidR="00F21270" w:rsidRDefault="00F21270" w:rsidP="00954A74">
            <w:pPr>
              <w:jc w:val="center"/>
              <w:rPr>
                <w:rFonts w:cs="Calibri"/>
                <w:color w:val="000000"/>
              </w:rPr>
            </w:pPr>
            <w:r>
              <w:rPr>
                <w:rFonts w:cs="Calibri"/>
                <w:color w:val="000000"/>
              </w:rPr>
              <w:t>14,2</w:t>
            </w:r>
          </w:p>
        </w:tc>
        <w:tc>
          <w:tcPr>
            <w:tcW w:w="559" w:type="pct"/>
            <w:vAlign w:val="bottom"/>
          </w:tcPr>
          <w:p w:rsidR="00F21270" w:rsidRPr="009A1106" w:rsidRDefault="00F21270" w:rsidP="00954A74">
            <w:pPr>
              <w:jc w:val="center"/>
              <w:rPr>
                <w:rFonts w:cs="Calibri"/>
                <w:b/>
                <w:bCs/>
                <w:color w:val="000000"/>
              </w:rPr>
            </w:pPr>
            <w:r w:rsidRPr="009A1106">
              <w:rPr>
                <w:rFonts w:cs="Calibri"/>
                <w:b/>
                <w:bCs/>
                <w:color w:val="000000"/>
              </w:rPr>
              <w:t>8,9</w:t>
            </w:r>
          </w:p>
        </w:tc>
        <w:tc>
          <w:tcPr>
            <w:tcW w:w="768" w:type="pct"/>
            <w:vAlign w:val="bottom"/>
          </w:tcPr>
          <w:p w:rsidR="00F21270" w:rsidRDefault="00F21270" w:rsidP="00954A74">
            <w:pPr>
              <w:jc w:val="center"/>
              <w:rPr>
                <w:rFonts w:cs="Calibri"/>
                <w:color w:val="000000"/>
              </w:rPr>
            </w:pPr>
            <w:r>
              <w:rPr>
                <w:rFonts w:cs="Calibri"/>
                <w:color w:val="000000"/>
              </w:rPr>
              <w:t>-5,3</w:t>
            </w:r>
          </w:p>
        </w:tc>
        <w:tc>
          <w:tcPr>
            <w:tcW w:w="1043" w:type="pct"/>
            <w:vAlign w:val="bottom"/>
          </w:tcPr>
          <w:p w:rsidR="00F21270" w:rsidRDefault="00F21270" w:rsidP="00954A74">
            <w:pPr>
              <w:jc w:val="center"/>
              <w:rPr>
                <w:rFonts w:cs="Calibri"/>
                <w:color w:val="000000"/>
              </w:rPr>
            </w:pPr>
            <w:r>
              <w:rPr>
                <w:rFonts w:cs="Calibri"/>
                <w:color w:val="000000"/>
              </w:rPr>
              <w:t>-0,9</w:t>
            </w:r>
          </w:p>
        </w:tc>
      </w:tr>
      <w:tr w:rsidR="00F21270" w:rsidRPr="003127E7" w:rsidTr="00954A74">
        <w:trPr>
          <w:trHeight w:val="997"/>
        </w:trPr>
        <w:tc>
          <w:tcPr>
            <w:tcW w:w="1583" w:type="pct"/>
            <w:tcBorders>
              <w:top w:val="nil"/>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szCs w:val="20"/>
              </w:rPr>
            </w:pPr>
            <w:r w:rsidRPr="00F31BC3">
              <w:rPr>
                <w:rFonts w:cs="Arial"/>
                <w:szCs w:val="20"/>
              </w:rPr>
              <w:t>Tedarikçilerden siparişlerinizin önümüzdeki üç ayda ne yönde değişeceğini düşünüyorsunuz?</w:t>
            </w:r>
          </w:p>
        </w:tc>
        <w:tc>
          <w:tcPr>
            <w:tcW w:w="559"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-21,5</w:t>
            </w:r>
          </w:p>
        </w:tc>
        <w:tc>
          <w:tcPr>
            <w:tcW w:w="48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-16,0</w:t>
            </w:r>
          </w:p>
        </w:tc>
        <w:tc>
          <w:tcPr>
            <w:tcW w:w="559" w:type="pct"/>
            <w:tcBorders>
              <w:top w:val="nil"/>
              <w:left w:val="nil"/>
              <w:bottom w:val="nil"/>
              <w:right w:val="nil"/>
            </w:tcBorders>
            <w:shd w:val="clear" w:color="auto" w:fill="D2EAF1"/>
            <w:vAlign w:val="bottom"/>
          </w:tcPr>
          <w:p w:rsidR="00F21270" w:rsidRPr="009A1106" w:rsidRDefault="00F21270" w:rsidP="00954A74">
            <w:pPr>
              <w:jc w:val="center"/>
              <w:rPr>
                <w:rFonts w:cs="Calibri"/>
                <w:b/>
                <w:bCs/>
                <w:color w:val="000000"/>
              </w:rPr>
            </w:pPr>
            <w:r w:rsidRPr="009A1106">
              <w:rPr>
                <w:rFonts w:cs="Calibri"/>
                <w:b/>
                <w:bCs/>
                <w:color w:val="000000"/>
              </w:rPr>
              <w:t>-24,1</w:t>
            </w:r>
          </w:p>
        </w:tc>
        <w:tc>
          <w:tcPr>
            <w:tcW w:w="76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-8,1</w:t>
            </w:r>
          </w:p>
        </w:tc>
        <w:tc>
          <w:tcPr>
            <w:tcW w:w="1043" w:type="pct"/>
            <w:tcBorders>
              <w:top w:val="nil"/>
              <w:left w:val="nil"/>
              <w:bottom w:val="nil"/>
            </w:tcBorders>
            <w:shd w:val="clear" w:color="auto" w:fill="D2EAF1"/>
            <w:vAlign w:val="bottom"/>
          </w:tcPr>
          <w:p w:rsidR="00F21270" w:rsidRDefault="00F21270" w:rsidP="00954A74">
            <w:pPr>
              <w:jc w:val="center"/>
              <w:rPr>
                <w:rFonts w:cs="Calibri"/>
                <w:color w:val="000000"/>
              </w:rPr>
            </w:pPr>
            <w:r>
              <w:rPr>
                <w:rFonts w:cs="Calibri"/>
                <w:color w:val="000000"/>
              </w:rPr>
              <w:t>-2,6</w:t>
            </w:r>
          </w:p>
        </w:tc>
      </w:tr>
      <w:tr w:rsidR="00F21270" w:rsidRPr="003127E7" w:rsidTr="00954A74">
        <w:trPr>
          <w:trHeight w:val="842"/>
        </w:trPr>
        <w:tc>
          <w:tcPr>
            <w:tcW w:w="1583" w:type="pct"/>
            <w:tcBorders>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szCs w:val="20"/>
              </w:rPr>
            </w:pPr>
            <w:r w:rsidRPr="00F31BC3">
              <w:rPr>
                <w:rFonts w:cs="Arial"/>
                <w:szCs w:val="20"/>
              </w:rPr>
              <w:t>Satışlarınızın önümüzdeki üç ayda ne yönde değişeceğini düşünüyorsunuz?</w:t>
            </w:r>
          </w:p>
        </w:tc>
        <w:tc>
          <w:tcPr>
            <w:tcW w:w="559" w:type="pct"/>
            <w:vAlign w:val="bottom"/>
          </w:tcPr>
          <w:p w:rsidR="00F21270" w:rsidRDefault="00F21270" w:rsidP="00954A74">
            <w:pPr>
              <w:jc w:val="center"/>
              <w:rPr>
                <w:rFonts w:cs="Calibri"/>
                <w:color w:val="000000"/>
              </w:rPr>
            </w:pPr>
            <w:r>
              <w:rPr>
                <w:rFonts w:cs="Calibri"/>
                <w:color w:val="000000"/>
              </w:rPr>
              <w:t>-8,5</w:t>
            </w:r>
          </w:p>
        </w:tc>
        <w:tc>
          <w:tcPr>
            <w:tcW w:w="488" w:type="pct"/>
            <w:vAlign w:val="bottom"/>
          </w:tcPr>
          <w:p w:rsidR="00F21270" w:rsidRDefault="00F21270" w:rsidP="00954A74">
            <w:pPr>
              <w:jc w:val="center"/>
              <w:rPr>
                <w:rFonts w:cs="Calibri"/>
                <w:color w:val="000000"/>
              </w:rPr>
            </w:pPr>
            <w:r>
              <w:rPr>
                <w:rFonts w:cs="Calibri"/>
                <w:color w:val="000000"/>
              </w:rPr>
              <w:t>-10,4</w:t>
            </w:r>
          </w:p>
        </w:tc>
        <w:tc>
          <w:tcPr>
            <w:tcW w:w="559" w:type="pct"/>
            <w:vAlign w:val="bottom"/>
          </w:tcPr>
          <w:p w:rsidR="00F21270" w:rsidRPr="009A1106" w:rsidRDefault="00F21270" w:rsidP="00954A74">
            <w:pPr>
              <w:jc w:val="center"/>
              <w:rPr>
                <w:rFonts w:cs="Calibri"/>
                <w:b/>
                <w:bCs/>
                <w:color w:val="000000"/>
              </w:rPr>
            </w:pPr>
            <w:r w:rsidRPr="009A1106">
              <w:rPr>
                <w:rFonts w:cs="Calibri"/>
                <w:b/>
                <w:bCs/>
                <w:color w:val="000000"/>
              </w:rPr>
              <w:t>-12,5</w:t>
            </w:r>
          </w:p>
        </w:tc>
        <w:tc>
          <w:tcPr>
            <w:tcW w:w="768" w:type="pct"/>
            <w:vAlign w:val="bottom"/>
          </w:tcPr>
          <w:p w:rsidR="00F21270" w:rsidRDefault="00F21270" w:rsidP="00954A74">
            <w:pPr>
              <w:jc w:val="center"/>
              <w:rPr>
                <w:rFonts w:cs="Calibri"/>
                <w:color w:val="000000"/>
              </w:rPr>
            </w:pPr>
            <w:r>
              <w:rPr>
                <w:rFonts w:cs="Calibri"/>
                <w:color w:val="000000"/>
              </w:rPr>
              <w:t>-2,1</w:t>
            </w:r>
          </w:p>
        </w:tc>
        <w:tc>
          <w:tcPr>
            <w:tcW w:w="1043" w:type="pct"/>
            <w:vAlign w:val="bottom"/>
          </w:tcPr>
          <w:p w:rsidR="00F21270" w:rsidRDefault="00F21270" w:rsidP="00954A74">
            <w:pPr>
              <w:jc w:val="center"/>
              <w:rPr>
                <w:rFonts w:cs="Calibri"/>
                <w:color w:val="000000"/>
              </w:rPr>
            </w:pPr>
            <w:r>
              <w:rPr>
                <w:rFonts w:cs="Calibri"/>
                <w:color w:val="000000"/>
              </w:rPr>
              <w:t>-4,0</w:t>
            </w:r>
          </w:p>
        </w:tc>
      </w:tr>
      <w:tr w:rsidR="00F21270" w:rsidRPr="003127E7" w:rsidTr="00954A74">
        <w:trPr>
          <w:trHeight w:val="1138"/>
        </w:trPr>
        <w:tc>
          <w:tcPr>
            <w:tcW w:w="1583" w:type="pct"/>
            <w:tcBorders>
              <w:top w:val="nil"/>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szCs w:val="20"/>
              </w:rPr>
            </w:pPr>
            <w:r w:rsidRPr="00F31BC3">
              <w:rPr>
                <w:rFonts w:cs="Arial"/>
                <w:szCs w:val="20"/>
              </w:rPr>
              <w:t>İstihdam ettiğiniz personel sayısının önümüzdeki üç ayda ne yönde değişeceğini düşünüyorsunuz?</w:t>
            </w:r>
          </w:p>
        </w:tc>
        <w:tc>
          <w:tcPr>
            <w:tcW w:w="559"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1,5</w:t>
            </w:r>
          </w:p>
        </w:tc>
        <w:tc>
          <w:tcPr>
            <w:tcW w:w="48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-0,6</w:t>
            </w:r>
          </w:p>
        </w:tc>
        <w:tc>
          <w:tcPr>
            <w:tcW w:w="559" w:type="pct"/>
            <w:tcBorders>
              <w:top w:val="nil"/>
              <w:left w:val="nil"/>
              <w:bottom w:val="nil"/>
              <w:right w:val="nil"/>
            </w:tcBorders>
            <w:shd w:val="clear" w:color="auto" w:fill="D2EAF1"/>
            <w:vAlign w:val="bottom"/>
          </w:tcPr>
          <w:p w:rsidR="00F21270" w:rsidRPr="009A1106" w:rsidRDefault="00F21270" w:rsidP="00954A74">
            <w:pPr>
              <w:jc w:val="center"/>
              <w:rPr>
                <w:rFonts w:cs="Calibri"/>
                <w:b/>
                <w:bCs/>
                <w:color w:val="000000"/>
              </w:rPr>
            </w:pPr>
            <w:r w:rsidRPr="009A1106">
              <w:rPr>
                <w:rFonts w:cs="Calibri"/>
                <w:b/>
                <w:bCs/>
                <w:color w:val="000000"/>
              </w:rPr>
              <w:t>-2,6</w:t>
            </w:r>
          </w:p>
        </w:tc>
        <w:tc>
          <w:tcPr>
            <w:tcW w:w="76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-2,0</w:t>
            </w:r>
          </w:p>
        </w:tc>
        <w:tc>
          <w:tcPr>
            <w:tcW w:w="1043" w:type="pct"/>
            <w:tcBorders>
              <w:top w:val="nil"/>
              <w:left w:val="nil"/>
              <w:bottom w:val="nil"/>
            </w:tcBorders>
            <w:shd w:val="clear" w:color="auto" w:fill="D2EAF1"/>
            <w:vAlign w:val="bottom"/>
          </w:tcPr>
          <w:p w:rsidR="00F21270" w:rsidRDefault="00F21270" w:rsidP="00954A74">
            <w:pPr>
              <w:jc w:val="center"/>
              <w:rPr>
                <w:rFonts w:cs="Calibri"/>
                <w:color w:val="000000"/>
              </w:rPr>
            </w:pPr>
            <w:r>
              <w:rPr>
                <w:rFonts w:cs="Calibri"/>
                <w:color w:val="000000"/>
              </w:rPr>
              <w:t>-4,1</w:t>
            </w:r>
          </w:p>
        </w:tc>
      </w:tr>
      <w:tr w:rsidR="00F21270" w:rsidRPr="003127E7" w:rsidTr="00954A74">
        <w:trPr>
          <w:trHeight w:val="842"/>
        </w:trPr>
        <w:tc>
          <w:tcPr>
            <w:tcW w:w="1583" w:type="pct"/>
            <w:tcBorders>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color w:val="000000"/>
                <w:szCs w:val="20"/>
              </w:rPr>
            </w:pPr>
            <w:r w:rsidRPr="00F31BC3">
              <w:rPr>
                <w:rFonts w:cs="Arial"/>
                <w:color w:val="000000"/>
                <w:szCs w:val="20"/>
              </w:rPr>
              <w:t>Satış fiyatlarınızın önümüzdeki üç ayda ne yönde değişeceğini düşünüyorsunuz?</w:t>
            </w:r>
          </w:p>
        </w:tc>
        <w:tc>
          <w:tcPr>
            <w:tcW w:w="559" w:type="pct"/>
            <w:vAlign w:val="bottom"/>
          </w:tcPr>
          <w:p w:rsidR="00F21270" w:rsidRDefault="00F21270" w:rsidP="00954A74">
            <w:pPr>
              <w:jc w:val="center"/>
              <w:rPr>
                <w:rFonts w:cs="Calibri"/>
                <w:color w:val="000000"/>
              </w:rPr>
            </w:pPr>
            <w:r>
              <w:rPr>
                <w:rFonts w:cs="Calibri"/>
                <w:color w:val="000000"/>
              </w:rPr>
              <w:t>39,4</w:t>
            </w:r>
          </w:p>
        </w:tc>
        <w:tc>
          <w:tcPr>
            <w:tcW w:w="488" w:type="pct"/>
            <w:vAlign w:val="bottom"/>
          </w:tcPr>
          <w:p w:rsidR="00F21270" w:rsidRDefault="00F21270" w:rsidP="00954A74">
            <w:pPr>
              <w:jc w:val="center"/>
              <w:rPr>
                <w:rFonts w:cs="Calibri"/>
                <w:color w:val="000000"/>
              </w:rPr>
            </w:pPr>
            <w:r>
              <w:rPr>
                <w:rFonts w:cs="Calibri"/>
                <w:color w:val="000000"/>
              </w:rPr>
              <w:t>34,9</w:t>
            </w:r>
          </w:p>
        </w:tc>
        <w:tc>
          <w:tcPr>
            <w:tcW w:w="559" w:type="pct"/>
            <w:vAlign w:val="bottom"/>
          </w:tcPr>
          <w:p w:rsidR="00F21270" w:rsidRPr="009A1106" w:rsidRDefault="00F21270" w:rsidP="00954A74">
            <w:pPr>
              <w:jc w:val="center"/>
              <w:rPr>
                <w:rFonts w:cs="Calibri"/>
                <w:b/>
                <w:bCs/>
                <w:color w:val="000000"/>
              </w:rPr>
            </w:pPr>
            <w:r w:rsidRPr="009A1106">
              <w:rPr>
                <w:rFonts w:cs="Calibri"/>
                <w:b/>
                <w:bCs/>
                <w:color w:val="000000"/>
              </w:rPr>
              <w:t>38,5</w:t>
            </w:r>
          </w:p>
        </w:tc>
        <w:tc>
          <w:tcPr>
            <w:tcW w:w="768" w:type="pct"/>
            <w:vAlign w:val="bottom"/>
          </w:tcPr>
          <w:p w:rsidR="00F21270" w:rsidRDefault="00F21270" w:rsidP="00954A74">
            <w:pPr>
              <w:jc w:val="center"/>
              <w:rPr>
                <w:rFonts w:cs="Calibri"/>
                <w:color w:val="000000"/>
              </w:rPr>
            </w:pPr>
            <w:r>
              <w:rPr>
                <w:rFonts w:cs="Calibri"/>
                <w:color w:val="000000"/>
              </w:rPr>
              <w:t>3,6</w:t>
            </w:r>
          </w:p>
        </w:tc>
        <w:tc>
          <w:tcPr>
            <w:tcW w:w="1043" w:type="pct"/>
            <w:vAlign w:val="bottom"/>
          </w:tcPr>
          <w:p w:rsidR="00F21270" w:rsidRDefault="00F21270" w:rsidP="00954A74">
            <w:pPr>
              <w:jc w:val="center"/>
              <w:rPr>
                <w:rFonts w:cs="Calibri"/>
                <w:color w:val="000000"/>
              </w:rPr>
            </w:pPr>
            <w:r>
              <w:rPr>
                <w:rFonts w:cs="Calibri"/>
                <w:color w:val="000000"/>
              </w:rPr>
              <w:t>-0,9</w:t>
            </w:r>
          </w:p>
        </w:tc>
      </w:tr>
      <w:tr w:rsidR="00F21270" w:rsidRPr="003127E7" w:rsidTr="00954A74">
        <w:trPr>
          <w:trHeight w:val="854"/>
        </w:trPr>
        <w:tc>
          <w:tcPr>
            <w:tcW w:w="1583" w:type="pct"/>
            <w:tcBorders>
              <w:top w:val="nil"/>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color w:val="000000"/>
                <w:szCs w:val="20"/>
              </w:rPr>
            </w:pPr>
            <w:r w:rsidRPr="00F31BC3">
              <w:rPr>
                <w:rFonts w:cs="Arial"/>
                <w:color w:val="000000"/>
                <w:szCs w:val="20"/>
              </w:rPr>
              <w:t>İşleriniz geçen yılın aynı dönemine göre bu yıl nasıl gelişti?</w:t>
            </w:r>
          </w:p>
        </w:tc>
        <w:tc>
          <w:tcPr>
            <w:tcW w:w="559"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-31,3</w:t>
            </w:r>
          </w:p>
        </w:tc>
        <w:tc>
          <w:tcPr>
            <w:tcW w:w="48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-35,3</w:t>
            </w:r>
          </w:p>
        </w:tc>
        <w:tc>
          <w:tcPr>
            <w:tcW w:w="559" w:type="pct"/>
            <w:tcBorders>
              <w:top w:val="nil"/>
              <w:left w:val="nil"/>
              <w:bottom w:val="nil"/>
              <w:right w:val="nil"/>
            </w:tcBorders>
            <w:shd w:val="clear" w:color="auto" w:fill="D2EAF1"/>
            <w:vAlign w:val="bottom"/>
          </w:tcPr>
          <w:p w:rsidR="00F21270" w:rsidRPr="009A1106" w:rsidRDefault="00F21270" w:rsidP="00954A74">
            <w:pPr>
              <w:jc w:val="center"/>
              <w:rPr>
                <w:rFonts w:cs="Calibri"/>
                <w:b/>
                <w:bCs/>
                <w:color w:val="000000"/>
              </w:rPr>
            </w:pPr>
            <w:r w:rsidRPr="009A1106">
              <w:rPr>
                <w:rFonts w:cs="Calibri"/>
                <w:b/>
                <w:bCs/>
                <w:color w:val="000000"/>
              </w:rPr>
              <w:t>-36,3</w:t>
            </w:r>
          </w:p>
        </w:tc>
        <w:tc>
          <w:tcPr>
            <w:tcW w:w="768" w:type="pct"/>
            <w:tcBorders>
              <w:top w:val="nil"/>
              <w:left w:val="nil"/>
              <w:bottom w:val="nil"/>
              <w:right w:val="nil"/>
            </w:tcBorders>
            <w:shd w:val="clear" w:color="auto" w:fill="D2EAF1"/>
            <w:vAlign w:val="bottom"/>
          </w:tcPr>
          <w:p w:rsidR="00F21270" w:rsidRDefault="00F21270" w:rsidP="00954A74">
            <w:pPr>
              <w:jc w:val="center"/>
              <w:rPr>
                <w:rFonts w:cs="Calibri"/>
                <w:color w:val="000000"/>
              </w:rPr>
            </w:pPr>
            <w:r>
              <w:rPr>
                <w:rFonts w:cs="Calibri"/>
                <w:color w:val="000000"/>
              </w:rPr>
              <w:t>-1,0</w:t>
            </w:r>
          </w:p>
        </w:tc>
        <w:tc>
          <w:tcPr>
            <w:tcW w:w="1043" w:type="pct"/>
            <w:tcBorders>
              <w:top w:val="nil"/>
              <w:left w:val="nil"/>
              <w:bottom w:val="nil"/>
            </w:tcBorders>
            <w:shd w:val="clear" w:color="auto" w:fill="D2EAF1"/>
            <w:vAlign w:val="bottom"/>
          </w:tcPr>
          <w:p w:rsidR="00F21270" w:rsidRDefault="00F21270" w:rsidP="00954A74">
            <w:pPr>
              <w:jc w:val="center"/>
              <w:rPr>
                <w:rFonts w:cs="Calibri"/>
                <w:color w:val="000000"/>
              </w:rPr>
            </w:pPr>
            <w:r>
              <w:rPr>
                <w:rFonts w:cs="Calibri"/>
                <w:color w:val="000000"/>
              </w:rPr>
              <w:t>-5,0</w:t>
            </w:r>
          </w:p>
        </w:tc>
      </w:tr>
      <w:tr w:rsidR="00F21270" w:rsidRPr="003127E7" w:rsidTr="00954A74">
        <w:trPr>
          <w:trHeight w:val="588"/>
        </w:trPr>
        <w:tc>
          <w:tcPr>
            <w:tcW w:w="1583" w:type="pct"/>
            <w:tcBorders>
              <w:left w:val="nil"/>
              <w:bottom w:val="nil"/>
              <w:right w:val="single" w:sz="8" w:space="0" w:color="4BACC6"/>
            </w:tcBorders>
            <w:shd w:val="clear" w:color="auto" w:fill="FFFFFF"/>
            <w:noWrap/>
            <w:vAlign w:val="center"/>
          </w:tcPr>
          <w:p w:rsidR="00F21270" w:rsidRPr="00F31BC3" w:rsidRDefault="00F21270" w:rsidP="00954A74">
            <w:pPr>
              <w:spacing w:before="240" w:after="0" w:line="240" w:lineRule="auto"/>
              <w:rPr>
                <w:rFonts w:cs="Arial"/>
                <w:b/>
                <w:color w:val="000000"/>
                <w:szCs w:val="20"/>
              </w:rPr>
            </w:pPr>
            <w:r w:rsidRPr="00F31BC3">
              <w:rPr>
                <w:rFonts w:cs="Arial"/>
                <w:color w:val="000000"/>
                <w:szCs w:val="20"/>
              </w:rPr>
              <w:t>Mağaza sayınızın gelecek yıl nasıl değişmesini bekliyorsunuz?</w:t>
            </w:r>
          </w:p>
        </w:tc>
        <w:tc>
          <w:tcPr>
            <w:tcW w:w="559" w:type="pct"/>
            <w:tcBorders>
              <w:bottom w:val="single" w:sz="8" w:space="0" w:color="4BACC6"/>
            </w:tcBorders>
            <w:vAlign w:val="bottom"/>
          </w:tcPr>
          <w:p w:rsidR="00F21270" w:rsidRDefault="00F21270" w:rsidP="00954A74">
            <w:pPr>
              <w:jc w:val="center"/>
              <w:rPr>
                <w:rFonts w:cs="Calibri"/>
                <w:color w:val="000000"/>
              </w:rPr>
            </w:pPr>
            <w:r>
              <w:rPr>
                <w:rFonts w:cs="Calibri"/>
                <w:color w:val="000000"/>
              </w:rPr>
              <w:t>9,7</w:t>
            </w:r>
          </w:p>
        </w:tc>
        <w:tc>
          <w:tcPr>
            <w:tcW w:w="488" w:type="pct"/>
            <w:tcBorders>
              <w:bottom w:val="single" w:sz="8" w:space="0" w:color="4BACC6"/>
            </w:tcBorders>
            <w:vAlign w:val="bottom"/>
          </w:tcPr>
          <w:p w:rsidR="00F21270" w:rsidRDefault="00F21270" w:rsidP="00954A74">
            <w:pPr>
              <w:jc w:val="center"/>
              <w:rPr>
                <w:rFonts w:cs="Calibri"/>
                <w:color w:val="000000"/>
              </w:rPr>
            </w:pPr>
            <w:r>
              <w:rPr>
                <w:rFonts w:cs="Calibri"/>
                <w:color w:val="000000"/>
              </w:rPr>
              <w:t>6,1</w:t>
            </w:r>
          </w:p>
        </w:tc>
        <w:tc>
          <w:tcPr>
            <w:tcW w:w="559" w:type="pct"/>
            <w:tcBorders>
              <w:bottom w:val="single" w:sz="8" w:space="0" w:color="4BACC6"/>
            </w:tcBorders>
            <w:vAlign w:val="bottom"/>
          </w:tcPr>
          <w:p w:rsidR="00F21270" w:rsidRPr="009A1106" w:rsidRDefault="00F21270" w:rsidP="00954A74">
            <w:pPr>
              <w:jc w:val="center"/>
              <w:rPr>
                <w:rFonts w:cs="Calibri"/>
                <w:b/>
                <w:bCs/>
                <w:color w:val="000000"/>
              </w:rPr>
            </w:pPr>
            <w:r w:rsidRPr="009A1106">
              <w:rPr>
                <w:rFonts w:cs="Calibri"/>
                <w:b/>
                <w:bCs/>
                <w:color w:val="000000"/>
              </w:rPr>
              <w:t>5,9</w:t>
            </w:r>
          </w:p>
        </w:tc>
        <w:tc>
          <w:tcPr>
            <w:tcW w:w="768" w:type="pct"/>
            <w:tcBorders>
              <w:bottom w:val="single" w:sz="8" w:space="0" w:color="4BACC6"/>
            </w:tcBorders>
            <w:vAlign w:val="bottom"/>
          </w:tcPr>
          <w:p w:rsidR="00F21270" w:rsidRDefault="00F21270" w:rsidP="00954A74">
            <w:pPr>
              <w:jc w:val="center"/>
              <w:rPr>
                <w:rFonts w:cs="Calibri"/>
                <w:color w:val="000000"/>
              </w:rPr>
            </w:pPr>
            <w:r>
              <w:rPr>
                <w:rFonts w:cs="Calibri"/>
                <w:color w:val="000000"/>
              </w:rPr>
              <w:t>-0,2</w:t>
            </w:r>
          </w:p>
        </w:tc>
        <w:tc>
          <w:tcPr>
            <w:tcW w:w="1043" w:type="pct"/>
            <w:tcBorders>
              <w:bottom w:val="single" w:sz="8" w:space="0" w:color="4BACC6"/>
            </w:tcBorders>
            <w:vAlign w:val="bottom"/>
          </w:tcPr>
          <w:p w:rsidR="00F21270" w:rsidRDefault="00F21270" w:rsidP="00954A74">
            <w:pPr>
              <w:jc w:val="center"/>
              <w:rPr>
                <w:rFonts w:cs="Calibri"/>
                <w:color w:val="000000"/>
              </w:rPr>
            </w:pPr>
            <w:r>
              <w:rPr>
                <w:rFonts w:cs="Calibri"/>
                <w:color w:val="000000"/>
              </w:rPr>
              <w:t>-3,8</w:t>
            </w:r>
          </w:p>
        </w:tc>
      </w:tr>
    </w:tbl>
    <w:p w:rsidR="00BF1293" w:rsidRDefault="00BF1293" w:rsidP="00C74CBA">
      <w:pPr>
        <w:rPr>
          <w:rFonts w:ascii="Times New Roman" w:hAnsi="Times New Roman" w:cs="Times New Roman"/>
          <w:b/>
          <w:sz w:val="20"/>
          <w:szCs w:val="20"/>
        </w:rPr>
      </w:pPr>
    </w:p>
    <w:p w:rsidR="00BF1293" w:rsidRDefault="00BF1293">
      <w:pPr>
        <w:spacing w:after="160" w:line="259" w:lineRule="auto"/>
        <w:rPr>
          <w:rFonts w:ascii="Times New Roman" w:hAnsi="Times New Roman" w:cs="Times New Roman"/>
          <w:b/>
          <w:sz w:val="20"/>
          <w:szCs w:val="20"/>
        </w:rPr>
      </w:pPr>
      <w:r>
        <w:rPr>
          <w:rFonts w:ascii="Times New Roman" w:hAnsi="Times New Roman" w:cs="Times New Roman"/>
          <w:b/>
          <w:sz w:val="20"/>
          <w:szCs w:val="20"/>
        </w:rPr>
        <w:br w:type="page"/>
      </w: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BF1293" w:rsidRPr="00245C55" w:rsidTr="00BF1293">
        <w:trPr>
          <w:trHeight w:val="646"/>
        </w:trPr>
        <w:tc>
          <w:tcPr>
            <w:tcW w:w="8754" w:type="dxa"/>
            <w:vAlign w:val="center"/>
          </w:tcPr>
          <w:p w:rsidR="00BF1293" w:rsidRPr="00BF1293" w:rsidRDefault="00BF1293" w:rsidP="00BF1293">
            <w:pPr>
              <w:pStyle w:val="stbilgi"/>
              <w:rPr>
                <w:rFonts w:eastAsiaTheme="majorEastAsia" w:cs="Times New Roman"/>
                <w:sz w:val="36"/>
                <w:szCs w:val="36"/>
              </w:rPr>
            </w:pPr>
            <w:r w:rsidRPr="00245C55">
              <w:rPr>
                <w:rFonts w:eastAsiaTheme="majorEastAsia" w:cs="Times New Roman"/>
                <w:sz w:val="36"/>
                <w:szCs w:val="36"/>
              </w:rPr>
              <w:lastRenderedPageBreak/>
              <w:t>201</w:t>
            </w:r>
            <w:r>
              <w:rPr>
                <w:rFonts w:eastAsiaTheme="majorEastAsia" w:cs="Times New Roman"/>
                <w:sz w:val="36"/>
                <w:szCs w:val="36"/>
              </w:rPr>
              <w:t>9</w:t>
            </w:r>
            <w:r w:rsidRPr="00245C55">
              <w:rPr>
                <w:rFonts w:eastAsiaTheme="majorEastAsia" w:cs="Times New Roman"/>
                <w:sz w:val="36"/>
                <w:szCs w:val="36"/>
              </w:rPr>
              <w:t xml:space="preserve"> </w:t>
            </w:r>
            <w:r>
              <w:rPr>
                <w:rFonts w:eastAsiaTheme="majorEastAsia" w:cs="Times New Roman"/>
                <w:sz w:val="36"/>
                <w:szCs w:val="36"/>
              </w:rPr>
              <w:t xml:space="preserve">I. Çeyrek </w:t>
            </w:r>
            <w:r w:rsidRPr="00356EC9">
              <w:rPr>
                <w:rFonts w:eastAsiaTheme="majorEastAsia" w:cs="Times New Roman"/>
                <w:sz w:val="36"/>
                <w:szCs w:val="36"/>
              </w:rPr>
              <w:t>G</w:t>
            </w:r>
            <w:r>
              <w:rPr>
                <w:rFonts w:eastAsiaTheme="majorEastAsia" w:cs="Times New Roman"/>
                <w:sz w:val="36"/>
                <w:szCs w:val="36"/>
              </w:rPr>
              <w:t>SYH Değerleri</w:t>
            </w:r>
          </w:p>
        </w:tc>
      </w:tr>
    </w:tbl>
    <w:p w:rsidR="00D243C1" w:rsidRDefault="00D243C1" w:rsidP="00C74CBA">
      <w:pPr>
        <w:rPr>
          <w:rFonts w:ascii="Times New Roman" w:hAnsi="Times New Roman" w:cs="Times New Roman"/>
          <w:b/>
          <w:sz w:val="20"/>
          <w:szCs w:val="20"/>
        </w:rPr>
      </w:pPr>
    </w:p>
    <w:p w:rsidR="00BF1293" w:rsidRPr="00134C18" w:rsidRDefault="00BF1293" w:rsidP="00BF1293">
      <w:pPr>
        <w:rPr>
          <w:b/>
        </w:rPr>
      </w:pPr>
      <w:r w:rsidRPr="00134C18">
        <w:rPr>
          <w:b/>
        </w:rPr>
        <w:t xml:space="preserve">Gayrisafi Yurt İçi </w:t>
      </w:r>
      <w:proofErr w:type="gramStart"/>
      <w:r w:rsidRPr="00134C18">
        <w:rPr>
          <w:b/>
        </w:rPr>
        <w:t>Hasıla</w:t>
      </w:r>
      <w:proofErr w:type="gramEnd"/>
      <w:r w:rsidRPr="00134C18">
        <w:rPr>
          <w:b/>
        </w:rPr>
        <w:t xml:space="preserve"> (GSYH) </w:t>
      </w:r>
      <w:r>
        <w:rPr>
          <w:b/>
        </w:rPr>
        <w:t>dördüncü</w:t>
      </w:r>
      <w:r w:rsidRPr="00134C18">
        <w:rPr>
          <w:b/>
        </w:rPr>
        <w:t xml:space="preserve"> çeyrek değerlerine ilişkin veriler Türkiye İstatistik Kurumu (TÜİK) tarafından </w:t>
      </w:r>
      <w:r>
        <w:rPr>
          <w:b/>
        </w:rPr>
        <w:t>31</w:t>
      </w:r>
      <w:r w:rsidRPr="00134C18">
        <w:rPr>
          <w:b/>
        </w:rPr>
        <w:t xml:space="preserve"> </w:t>
      </w:r>
      <w:r>
        <w:rPr>
          <w:b/>
        </w:rPr>
        <w:t>Mayıs</w:t>
      </w:r>
      <w:r w:rsidRPr="00134C18">
        <w:rPr>
          <w:b/>
        </w:rPr>
        <w:t xml:space="preserve"> 201</w:t>
      </w:r>
      <w:r>
        <w:rPr>
          <w:b/>
        </w:rPr>
        <w:t>9</w:t>
      </w:r>
      <w:r w:rsidRPr="00134C18">
        <w:rPr>
          <w:b/>
        </w:rPr>
        <w:t xml:space="preserve"> tarihinde yayımlandı.</w:t>
      </w:r>
    </w:p>
    <w:p w:rsidR="00BF1293" w:rsidRDefault="00BF1293" w:rsidP="001B7C94">
      <w:pPr>
        <w:jc w:val="both"/>
      </w:pPr>
      <w:r w:rsidRPr="00245C55">
        <w:t>TÜİK tarafından çeyreklik dönemlerde yayımlanan GSYH değerleri, Ulusal Hesaplar Sistemi’nde tahmin edilen temel büyüklüklerin en önemlisi ve odak noktasıdır. GSYH, bir ülkedeki belirli bir dönemde üretilen mal ve hizmetlerden dolayı oluşan katma değere ilişkin standart bir ölçü olarak değerlendirilebilir.</w:t>
      </w:r>
      <w:r>
        <w:t xml:space="preserve"> GSYH’nin üretimdeki değişiminin </w:t>
      </w:r>
      <w:r w:rsidRPr="006C7C68">
        <w:t>daha sağlıklı ölçülebilmesi için enflasyon etkisinin arındırılmasıyla</w:t>
      </w:r>
      <w:r>
        <w:t xml:space="preserve"> z</w:t>
      </w:r>
      <w:r w:rsidRPr="006C7C68">
        <w:t>incirlenmiş hacim endeks</w:t>
      </w:r>
      <w:r>
        <w:t>i hesaplanmaktadır.</w:t>
      </w:r>
    </w:p>
    <w:p w:rsidR="00BF1293" w:rsidRDefault="00BF1293" w:rsidP="001B7C94">
      <w:pPr>
        <w:jc w:val="both"/>
      </w:pPr>
      <w:r>
        <w:t>Cari fiyatlarla hesaplamalarda; gerçek değişimlerle birlikte fiyat hareketleri de kapsanmaktadır. Yalnızca gerçek değişimlerin izlenebilmesi için fiyat değişikliklerinden gelen etkinin giderilmesi gerekmektedir. Zincirlenmiş hacim endeksleriyle elde edilen GSYH, bu etkiyi yok ederek; belli bir dönemde yer alan gerçek değişmeleri ölçmektedir.</w:t>
      </w:r>
      <w:r>
        <w:rPr>
          <w:rStyle w:val="DipnotBavurusu"/>
        </w:rPr>
        <w:footnoteReference w:id="6"/>
      </w:r>
    </w:p>
    <w:p w:rsidR="00BF1293" w:rsidRDefault="00BF1293" w:rsidP="001B7C94">
      <w:pPr>
        <w:jc w:val="both"/>
      </w:pPr>
      <w:r>
        <w:t>Fiyat değişimlerinin etkisinden arındırılıp yalnızca gerçek değişimin ölçülmesi için ise fiyat yapısının güncel olması gerekmektedir. Ardışık iki yıl hesaplamalarında sabit bir yıldaki fiyatın kullanılmasının yerine önceki yılın fiyatları kullanılarak zincirlenmiş hacim endekslerine ulaşıldığında; fiyat değişimlerinden arındırma işlemi daha sağlıklı olmaktadır. Ancak zincirleme yöntemler kullanıldığı durumlarda göreli fiyatlar değiştiği için toplamsal olmama sorunu (</w:t>
      </w:r>
      <w:proofErr w:type="spellStart"/>
      <w:r>
        <w:t>nonadditivity</w:t>
      </w:r>
      <w:proofErr w:type="spellEnd"/>
      <w:r>
        <w:t xml:space="preserve"> problem) yöntemin bir dezavantajı olarak karşımıza çıkmaktadır.</w:t>
      </w:r>
      <w:r>
        <w:rPr>
          <w:rStyle w:val="DipnotBavurusu"/>
        </w:rPr>
        <w:footnoteReference w:id="7"/>
      </w:r>
    </w:p>
    <w:p w:rsidR="00BF1293" w:rsidRDefault="00BF1293" w:rsidP="001B7C94">
      <w:pPr>
        <w:jc w:val="both"/>
      </w:pPr>
      <w:r w:rsidRPr="00F52B20">
        <w:t>Tablo 1’de görüldüğü üzere GSYH zincirlenmiş hacim endeksinin (2009=100) bir önceki yılın aynı dönemine göre değişim oranı ile hesaplanan GSYH büyüme hızı</w:t>
      </w:r>
      <w:r>
        <w:t>,</w:t>
      </w:r>
      <w:r w:rsidRPr="00F52B20">
        <w:t xml:space="preserve"> 2019’un birinci çeyreğinde yüzde -2,6 seviyesinde gerçekleşmiştir. </w:t>
      </w:r>
      <w:r w:rsidRPr="00A00E7D">
        <w:t>Öte yandan endeks bir önceki çe</w:t>
      </w:r>
      <w:r>
        <w:t>yreklik döneme (2018 yılı dördüncü</w:t>
      </w:r>
      <w:r w:rsidRPr="00A00E7D">
        <w:t xml:space="preserve"> çeyrek) göre ise yüzd</w:t>
      </w:r>
      <w:r>
        <w:t>e 14,6</w:t>
      </w:r>
      <w:r w:rsidRPr="00A00E7D">
        <w:t xml:space="preserve"> düşüş göstermiştir. </w:t>
      </w:r>
      <w:r w:rsidRPr="00DD6A67">
        <w:t>GSYH</w:t>
      </w:r>
      <w:r>
        <w:t xml:space="preserve"> 2019</w:t>
      </w:r>
      <w:r w:rsidRPr="00245C55">
        <w:t xml:space="preserve"> yılının </w:t>
      </w:r>
      <w:r>
        <w:t>birinci</w:t>
      </w:r>
      <w:r w:rsidRPr="00245C55">
        <w:t xml:space="preserve"> çeyreğinde</w:t>
      </w:r>
      <w:r>
        <w:t>,</w:t>
      </w:r>
      <w:r w:rsidRPr="00245C55">
        <w:t xml:space="preserve"> geçen yılın aynı </w:t>
      </w:r>
      <w:r>
        <w:t>dönemine</w:t>
      </w:r>
      <w:r w:rsidRPr="00245C55">
        <w:t xml:space="preserve"> göre yüzde </w:t>
      </w:r>
      <w:r>
        <w:t>15,9 artarken bir önceki çeyreğe göre ise yüzde 9,4 azalarak 914 milyar 699 milyon TL değerini almıştır.</w:t>
      </w:r>
    </w:p>
    <w:p w:rsidR="00BF1293" w:rsidRPr="00245C55" w:rsidRDefault="00BF1293" w:rsidP="001B7C94">
      <w:pPr>
        <w:jc w:val="both"/>
      </w:pPr>
      <w:r w:rsidRPr="00A126EA">
        <w:t>GSYH’yi oluşturan faaliyetler incelendiğinde; 2019 yılının birinci çeyreğinde bir önceki yılın aynı çeyreğine göre zincirlenmiş hacim endeksi olarak; tarım sektörü toplam katma değeri yüzde 2,5 artarken sanayi sektörünün katma değeri ise yüzde 4,3 ve inşaat sektörünün katma değeri yüzde 10,9 azalmıştır. Ticaret, ulaştırma, konaklama ve yiyecek hizmeti faaliyetlerinin toplamından oluşan hizmetler sektörünün katma değeri ise yüzde 0,4 azalmıştır. (Tablo 3).</w:t>
      </w:r>
    </w:p>
    <w:p w:rsidR="00BF1293" w:rsidRDefault="00BF1293" w:rsidP="00BF1293">
      <w:pPr>
        <w:pStyle w:val="rresim"/>
      </w:pPr>
    </w:p>
    <w:p w:rsidR="00BF1293" w:rsidRPr="00BF1293" w:rsidRDefault="00BF1293" w:rsidP="00BF1293">
      <w:pPr>
        <w:pStyle w:val="rresim"/>
        <w:rPr>
          <w:rFonts w:cs="Times New Roman"/>
          <w:b/>
          <w:sz w:val="14"/>
          <w:szCs w:val="14"/>
        </w:rPr>
      </w:pPr>
      <w:r w:rsidRPr="00BF1293">
        <w:rPr>
          <w:b/>
        </w:rPr>
        <w:t xml:space="preserve">Tablo 1: Gayrisafi Yurtiçi </w:t>
      </w:r>
      <w:proofErr w:type="gramStart"/>
      <w:r w:rsidRPr="00BF1293">
        <w:rPr>
          <w:b/>
        </w:rPr>
        <w:t>Hasıla</w:t>
      </w:r>
      <w:proofErr w:type="gramEnd"/>
      <w:r w:rsidRPr="00BF1293">
        <w:rPr>
          <w:b/>
        </w:rPr>
        <w:t xml:space="preserve"> Sonuçları, 2018-2019</w:t>
      </w:r>
    </w:p>
    <w:tbl>
      <w:tblPr>
        <w:tblW w:w="8755" w:type="dxa"/>
        <w:tblInd w:w="75" w:type="dxa"/>
        <w:tblCellMar>
          <w:left w:w="70" w:type="dxa"/>
          <w:right w:w="70" w:type="dxa"/>
        </w:tblCellMar>
        <w:tblLook w:val="04A0" w:firstRow="1" w:lastRow="0" w:firstColumn="1" w:lastColumn="0" w:noHBand="0" w:noVBand="1"/>
      </w:tblPr>
      <w:tblGrid>
        <w:gridCol w:w="1167"/>
        <w:gridCol w:w="1167"/>
        <w:gridCol w:w="1654"/>
        <w:gridCol w:w="1654"/>
        <w:gridCol w:w="1751"/>
        <w:gridCol w:w="1362"/>
      </w:tblGrid>
      <w:tr w:rsidR="00BF1293" w:rsidRPr="00B922F7" w:rsidTr="00954A74">
        <w:trPr>
          <w:trHeight w:val="1162"/>
        </w:trPr>
        <w:tc>
          <w:tcPr>
            <w:tcW w:w="1167"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Yıl</w:t>
            </w:r>
          </w:p>
        </w:tc>
        <w:tc>
          <w:tcPr>
            <w:tcW w:w="1167" w:type="dxa"/>
            <w:tcBorders>
              <w:top w:val="single" w:sz="4" w:space="0" w:color="FFFFFF"/>
              <w:left w:val="nil"/>
              <w:bottom w:val="single" w:sz="4" w:space="0" w:color="FFFFFF"/>
              <w:right w:val="single" w:sz="4" w:space="0" w:color="FFFFFF"/>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Çeyrek</w:t>
            </w:r>
          </w:p>
        </w:tc>
        <w:tc>
          <w:tcPr>
            <w:tcW w:w="1654"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Cari fiyatlarla (Milyar TL)</w:t>
            </w:r>
          </w:p>
        </w:tc>
        <w:tc>
          <w:tcPr>
            <w:tcW w:w="1654"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Cari fiyatlarla (Milyar $)</w:t>
            </w:r>
          </w:p>
        </w:tc>
        <w:tc>
          <w:tcPr>
            <w:tcW w:w="1751"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Zincirlenmiş hacim endeksi (2009=100)</w:t>
            </w:r>
          </w:p>
        </w:tc>
        <w:tc>
          <w:tcPr>
            <w:tcW w:w="1362"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Endeks değişim oranı* (%)</w:t>
            </w:r>
          </w:p>
        </w:tc>
      </w:tr>
      <w:tr w:rsidR="00BF1293" w:rsidRPr="00B922F7" w:rsidTr="00954A74">
        <w:trPr>
          <w:trHeight w:val="305"/>
        </w:trPr>
        <w:tc>
          <w:tcPr>
            <w:tcW w:w="1167" w:type="dxa"/>
            <w:vMerge w:val="restart"/>
            <w:tcBorders>
              <w:top w:val="nil"/>
              <w:left w:val="nil"/>
              <w:bottom w:val="single" w:sz="4" w:space="0" w:color="FFFFFF"/>
              <w:right w:val="single" w:sz="4" w:space="0" w:color="FFFFFF"/>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2018</w:t>
            </w:r>
          </w:p>
        </w:tc>
        <w:tc>
          <w:tcPr>
            <w:tcW w:w="1167"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789</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207</w:t>
            </w:r>
          </w:p>
        </w:tc>
        <w:tc>
          <w:tcPr>
            <w:tcW w:w="1751"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158,4</w:t>
            </w:r>
          </w:p>
        </w:tc>
        <w:tc>
          <w:tcPr>
            <w:tcW w:w="1362"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7,4</w:t>
            </w:r>
          </w:p>
        </w:tc>
      </w:tr>
      <w:tr w:rsidR="00BF1293" w:rsidRPr="00B922F7" w:rsidTr="00954A74">
        <w:trPr>
          <w:trHeight w:val="305"/>
        </w:trPr>
        <w:tc>
          <w:tcPr>
            <w:tcW w:w="1167"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167"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II</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885</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205</w:t>
            </w:r>
          </w:p>
        </w:tc>
        <w:tc>
          <w:tcPr>
            <w:tcW w:w="1751"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172,8</w:t>
            </w:r>
          </w:p>
        </w:tc>
        <w:tc>
          <w:tcPr>
            <w:tcW w:w="1362"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5,3</w:t>
            </w:r>
          </w:p>
        </w:tc>
      </w:tr>
      <w:tr w:rsidR="00BF1293" w:rsidRPr="00B922F7" w:rsidTr="00954A74">
        <w:trPr>
          <w:trHeight w:val="305"/>
        </w:trPr>
        <w:tc>
          <w:tcPr>
            <w:tcW w:w="1167"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167"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III</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1.017</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188</w:t>
            </w:r>
          </w:p>
        </w:tc>
        <w:tc>
          <w:tcPr>
            <w:tcW w:w="1751"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183,8</w:t>
            </w:r>
          </w:p>
        </w:tc>
        <w:tc>
          <w:tcPr>
            <w:tcW w:w="1362"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w:t>
            </w:r>
          </w:p>
        </w:tc>
      </w:tr>
      <w:tr w:rsidR="00BF1293" w:rsidRPr="00B922F7" w:rsidTr="00954A74">
        <w:trPr>
          <w:trHeight w:val="305"/>
        </w:trPr>
        <w:tc>
          <w:tcPr>
            <w:tcW w:w="1167"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167"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IV</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1.010</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185</w:t>
            </w:r>
          </w:p>
        </w:tc>
        <w:tc>
          <w:tcPr>
            <w:tcW w:w="1751"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180,5</w:t>
            </w:r>
          </w:p>
        </w:tc>
        <w:tc>
          <w:tcPr>
            <w:tcW w:w="1362"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-3,0</w:t>
            </w:r>
          </w:p>
        </w:tc>
      </w:tr>
      <w:tr w:rsidR="00BF1293" w:rsidRPr="00B922F7" w:rsidTr="00954A74">
        <w:trPr>
          <w:trHeight w:val="305"/>
        </w:trPr>
        <w:tc>
          <w:tcPr>
            <w:tcW w:w="1167"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167"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Yıllık</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3.701</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784</w:t>
            </w:r>
          </w:p>
        </w:tc>
        <w:tc>
          <w:tcPr>
            <w:tcW w:w="1751"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173,9</w:t>
            </w:r>
          </w:p>
        </w:tc>
        <w:tc>
          <w:tcPr>
            <w:tcW w:w="1362"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2,6</w:t>
            </w:r>
          </w:p>
        </w:tc>
      </w:tr>
      <w:tr w:rsidR="00BF1293" w:rsidRPr="00B922F7" w:rsidTr="00954A74">
        <w:trPr>
          <w:trHeight w:val="397"/>
        </w:trPr>
        <w:tc>
          <w:tcPr>
            <w:tcW w:w="1167" w:type="dxa"/>
            <w:tcBorders>
              <w:top w:val="nil"/>
              <w:left w:val="nil"/>
              <w:bottom w:val="nil"/>
              <w:right w:val="nil"/>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2019</w:t>
            </w:r>
          </w:p>
        </w:tc>
        <w:tc>
          <w:tcPr>
            <w:tcW w:w="1167" w:type="dxa"/>
            <w:tcBorders>
              <w:top w:val="nil"/>
              <w:left w:val="single" w:sz="4" w:space="0" w:color="FFFFFF"/>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915</w:t>
            </w:r>
          </w:p>
        </w:tc>
        <w:tc>
          <w:tcPr>
            <w:tcW w:w="165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170</w:t>
            </w:r>
          </w:p>
        </w:tc>
        <w:tc>
          <w:tcPr>
            <w:tcW w:w="1751"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154,2</w:t>
            </w:r>
          </w:p>
        </w:tc>
        <w:tc>
          <w:tcPr>
            <w:tcW w:w="1362"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-2,6</w:t>
            </w:r>
          </w:p>
        </w:tc>
      </w:tr>
    </w:tbl>
    <w:p w:rsidR="00BF1293" w:rsidRPr="006977BC" w:rsidRDefault="00BF1293" w:rsidP="00BF1293">
      <w:pPr>
        <w:pStyle w:val="rresim"/>
        <w:rPr>
          <w:rFonts w:cs="Times New Roman"/>
          <w:b/>
          <w:sz w:val="14"/>
          <w:szCs w:val="14"/>
        </w:rPr>
      </w:pPr>
      <w:r w:rsidRPr="00245C55">
        <w:rPr>
          <w:rFonts w:cs="Times New Roman"/>
          <w:sz w:val="14"/>
          <w:szCs w:val="14"/>
        </w:rPr>
        <w:br/>
      </w:r>
      <w:r w:rsidRPr="006977BC">
        <w:rPr>
          <w:rFonts w:cs="Times New Roman"/>
          <w:sz w:val="20"/>
          <w:szCs w:val="14"/>
        </w:rPr>
        <w:t>*Bir önceki yılın aynı dönemine göre enflasyon değişimi</w:t>
      </w:r>
    </w:p>
    <w:p w:rsidR="00BF1293" w:rsidRDefault="00BF1293" w:rsidP="001B7C94">
      <w:pPr>
        <w:jc w:val="both"/>
        <w:rPr>
          <w:szCs w:val="24"/>
        </w:rPr>
      </w:pPr>
      <w:r w:rsidRPr="005C3DCF">
        <w:rPr>
          <w:szCs w:val="24"/>
        </w:rPr>
        <w:t>Gelir yöntemi ile hesaplanan GSYH, ekonomideki üretici birimlerin elde ettiği maaş, ücret gelirleri, işletme karı ve devletin elde ettiği çeşitli vergi gelirlerinden oluşmaktadır. Gelir yöntemiyle hesaplanan GSYH bileşenlerinin Gayrisafi Katma Değer (GSKD) içerisindeki payları incelendiğinde</w:t>
      </w:r>
      <w:r>
        <w:rPr>
          <w:szCs w:val="24"/>
        </w:rPr>
        <w:t>,</w:t>
      </w:r>
      <w:r w:rsidRPr="005C3DCF">
        <w:rPr>
          <w:szCs w:val="24"/>
        </w:rPr>
        <w:t xml:space="preserve"> işgücü ödemelerinin cari GSKD içerisindeki payı geçen</w:t>
      </w:r>
      <w:r>
        <w:rPr>
          <w:szCs w:val="24"/>
        </w:rPr>
        <w:t xml:space="preserve"> yılın aynı döneminde yüzde 38,3</w:t>
      </w:r>
      <w:r w:rsidRPr="005C3DCF">
        <w:rPr>
          <w:szCs w:val="24"/>
        </w:rPr>
        <w:t xml:space="preserve"> iken bu oran</w:t>
      </w:r>
      <w:r>
        <w:rPr>
          <w:szCs w:val="24"/>
        </w:rPr>
        <w:t>ın 2019</w:t>
      </w:r>
      <w:r w:rsidRPr="005C3DCF">
        <w:rPr>
          <w:szCs w:val="24"/>
        </w:rPr>
        <w:t xml:space="preserve"> yılı</w:t>
      </w:r>
      <w:r>
        <w:rPr>
          <w:szCs w:val="24"/>
        </w:rPr>
        <w:t>nın birinci çeyreğinde yüzde 39,3</w:t>
      </w:r>
      <w:r w:rsidRPr="005C3DCF">
        <w:rPr>
          <w:szCs w:val="24"/>
        </w:rPr>
        <w:t xml:space="preserve"> ol</w:t>
      </w:r>
      <w:r>
        <w:rPr>
          <w:szCs w:val="24"/>
        </w:rPr>
        <w:t>duğu görülmektedir</w:t>
      </w:r>
      <w:r w:rsidRPr="005C3DCF">
        <w:rPr>
          <w:szCs w:val="24"/>
        </w:rPr>
        <w:t>. Net işletme artığı</w:t>
      </w:r>
      <w:r>
        <w:rPr>
          <w:szCs w:val="24"/>
        </w:rPr>
        <w:t>/karma gelirin payı ise yüzde 43,3’ten yüzde 40,8</w:t>
      </w:r>
      <w:r w:rsidRPr="005C3DCF">
        <w:rPr>
          <w:szCs w:val="24"/>
        </w:rPr>
        <w:t>'e düşmüştür (Tablo 2).</w:t>
      </w:r>
      <w:r>
        <w:rPr>
          <w:szCs w:val="24"/>
        </w:rPr>
        <w:t xml:space="preserve"> </w:t>
      </w:r>
    </w:p>
    <w:p w:rsidR="00BF1293" w:rsidRPr="00567194" w:rsidRDefault="00BF1293" w:rsidP="00BF1293">
      <w:pPr>
        <w:rPr>
          <w:rFonts w:cs="Times New Roman"/>
        </w:rPr>
      </w:pPr>
      <w:r w:rsidRPr="006977BC">
        <w:rPr>
          <w:b/>
        </w:rPr>
        <w:t>Tablo 2</w:t>
      </w:r>
      <w:r w:rsidR="007B2212">
        <w:rPr>
          <w:b/>
        </w:rPr>
        <w:t>:</w:t>
      </w:r>
      <w:r w:rsidRPr="006977BC">
        <w:rPr>
          <w:b/>
        </w:rPr>
        <w:t xml:space="preserve"> Gelir yöntemiyle GSYH bileşenlerinin Gayrisafi Katma Değer içerisindeki payları, %, </w:t>
      </w:r>
      <w:r>
        <w:rPr>
          <w:b/>
        </w:rPr>
        <w:t>2018</w:t>
      </w:r>
      <w:r w:rsidRPr="006977BC">
        <w:rPr>
          <w:b/>
        </w:rPr>
        <w:t>-</w:t>
      </w:r>
      <w:r>
        <w:rPr>
          <w:b/>
        </w:rPr>
        <w:t>2019</w:t>
      </w:r>
    </w:p>
    <w:tbl>
      <w:tblPr>
        <w:tblW w:w="8834" w:type="dxa"/>
        <w:tblInd w:w="75" w:type="dxa"/>
        <w:tblCellMar>
          <w:left w:w="70" w:type="dxa"/>
          <w:right w:w="70" w:type="dxa"/>
        </w:tblCellMar>
        <w:tblLook w:val="04A0" w:firstRow="1" w:lastRow="0" w:firstColumn="1" w:lastColumn="0" w:noHBand="0" w:noVBand="1"/>
      </w:tblPr>
      <w:tblGrid>
        <w:gridCol w:w="1014"/>
        <w:gridCol w:w="1564"/>
        <w:gridCol w:w="1564"/>
        <w:gridCol w:w="1564"/>
        <w:gridCol w:w="1564"/>
        <w:gridCol w:w="1564"/>
      </w:tblGrid>
      <w:tr w:rsidR="00BF1293" w:rsidRPr="00B922F7" w:rsidTr="00954A74">
        <w:trPr>
          <w:trHeight w:val="1009"/>
        </w:trPr>
        <w:tc>
          <w:tcPr>
            <w:tcW w:w="1014"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Yıl</w:t>
            </w:r>
          </w:p>
        </w:tc>
        <w:tc>
          <w:tcPr>
            <w:tcW w:w="1564" w:type="dxa"/>
            <w:tcBorders>
              <w:top w:val="single" w:sz="4" w:space="0" w:color="FFFFFF"/>
              <w:left w:val="nil"/>
              <w:bottom w:val="single" w:sz="4" w:space="0" w:color="FFFFFF"/>
              <w:right w:val="single" w:sz="4" w:space="0" w:color="FFFFFF"/>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Çeyrek</w:t>
            </w:r>
          </w:p>
        </w:tc>
        <w:tc>
          <w:tcPr>
            <w:tcW w:w="1564"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İşgücü ödemeleri</w:t>
            </w:r>
          </w:p>
        </w:tc>
        <w:tc>
          <w:tcPr>
            <w:tcW w:w="1564"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Üretim üzerindeki net vergiler</w:t>
            </w:r>
          </w:p>
        </w:tc>
        <w:tc>
          <w:tcPr>
            <w:tcW w:w="1564"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Sabit sermaye tüketimi</w:t>
            </w:r>
          </w:p>
        </w:tc>
        <w:tc>
          <w:tcPr>
            <w:tcW w:w="1564" w:type="dxa"/>
            <w:tcBorders>
              <w:top w:val="single" w:sz="4" w:space="0" w:color="FFFFFF"/>
              <w:left w:val="nil"/>
              <w:bottom w:val="single" w:sz="4" w:space="0" w:color="FFFFFF"/>
              <w:right w:val="single" w:sz="4" w:space="0" w:color="FFFFFF"/>
            </w:tcBorders>
            <w:shd w:val="clear" w:color="000000" w:fill="1F497D"/>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Net işletme artığı/Karma gelir</w:t>
            </w:r>
          </w:p>
        </w:tc>
      </w:tr>
      <w:tr w:rsidR="00BF1293" w:rsidRPr="00B922F7" w:rsidTr="00954A74">
        <w:trPr>
          <w:trHeight w:val="347"/>
        </w:trPr>
        <w:tc>
          <w:tcPr>
            <w:tcW w:w="1014" w:type="dxa"/>
            <w:vMerge w:val="restart"/>
            <w:tcBorders>
              <w:top w:val="nil"/>
              <w:left w:val="nil"/>
              <w:bottom w:val="single" w:sz="4" w:space="0" w:color="FFFFFF"/>
              <w:right w:val="single" w:sz="4" w:space="0" w:color="FFFFFF"/>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2018</w:t>
            </w:r>
          </w:p>
        </w:tc>
        <w:tc>
          <w:tcPr>
            <w:tcW w:w="1564"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38,3</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-0,9</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19,3</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43,3</w:t>
            </w:r>
          </w:p>
        </w:tc>
      </w:tr>
      <w:tr w:rsidR="00BF1293" w:rsidRPr="00B922F7" w:rsidTr="00954A74">
        <w:trPr>
          <w:trHeight w:val="347"/>
        </w:trPr>
        <w:tc>
          <w:tcPr>
            <w:tcW w:w="1014"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564"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II</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35,9</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-0,9</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18,2</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46,9</w:t>
            </w:r>
          </w:p>
        </w:tc>
      </w:tr>
      <w:tr w:rsidR="00BF1293" w:rsidRPr="00B922F7" w:rsidTr="00954A74">
        <w:trPr>
          <w:trHeight w:val="347"/>
        </w:trPr>
        <w:tc>
          <w:tcPr>
            <w:tcW w:w="1014"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564"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III</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31,6</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-0,4</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17,2</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51,6</w:t>
            </w:r>
          </w:p>
        </w:tc>
      </w:tr>
      <w:tr w:rsidR="00BF1293" w:rsidRPr="00B922F7" w:rsidTr="00954A74">
        <w:trPr>
          <w:trHeight w:val="347"/>
        </w:trPr>
        <w:tc>
          <w:tcPr>
            <w:tcW w:w="1014"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564"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IV</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31,2</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-1,1</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18,6</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51,3</w:t>
            </w:r>
          </w:p>
        </w:tc>
      </w:tr>
      <w:tr w:rsidR="00BF1293" w:rsidRPr="00B922F7" w:rsidTr="00954A74">
        <w:trPr>
          <w:trHeight w:val="347"/>
        </w:trPr>
        <w:tc>
          <w:tcPr>
            <w:tcW w:w="1014" w:type="dxa"/>
            <w:vMerge/>
            <w:tcBorders>
              <w:top w:val="nil"/>
              <w:left w:val="nil"/>
              <w:bottom w:val="single" w:sz="4" w:space="0" w:color="FFFFFF"/>
              <w:right w:val="single" w:sz="4" w:space="0" w:color="FFFFFF"/>
            </w:tcBorders>
            <w:vAlign w:val="center"/>
            <w:hideMark/>
          </w:tcPr>
          <w:p w:rsidR="00BF1293" w:rsidRPr="00B922F7" w:rsidRDefault="00BF1293" w:rsidP="00954A74">
            <w:pPr>
              <w:spacing w:after="0" w:line="240" w:lineRule="auto"/>
              <w:rPr>
                <w:rFonts w:eastAsia="Times New Roman" w:cs="Times New Roman"/>
                <w:b/>
                <w:bCs/>
                <w:color w:val="FFFFFF"/>
              </w:rPr>
            </w:pPr>
          </w:p>
        </w:tc>
        <w:tc>
          <w:tcPr>
            <w:tcW w:w="1564" w:type="dxa"/>
            <w:tcBorders>
              <w:top w:val="nil"/>
              <w:left w:val="nil"/>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Yıllık</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33,9</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-0,8</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18,3</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48,7</w:t>
            </w:r>
          </w:p>
        </w:tc>
      </w:tr>
      <w:tr w:rsidR="00BF1293" w:rsidRPr="00B922F7" w:rsidTr="00954A74">
        <w:trPr>
          <w:trHeight w:val="417"/>
        </w:trPr>
        <w:tc>
          <w:tcPr>
            <w:tcW w:w="1014" w:type="dxa"/>
            <w:tcBorders>
              <w:top w:val="nil"/>
              <w:left w:val="nil"/>
              <w:bottom w:val="nil"/>
              <w:right w:val="nil"/>
            </w:tcBorders>
            <w:shd w:val="clear" w:color="000000" w:fill="1F497D"/>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2019</w:t>
            </w:r>
          </w:p>
        </w:tc>
        <w:tc>
          <w:tcPr>
            <w:tcW w:w="1564" w:type="dxa"/>
            <w:tcBorders>
              <w:top w:val="nil"/>
              <w:left w:val="single" w:sz="4" w:space="0" w:color="FFFFFF"/>
              <w:bottom w:val="single" w:sz="4" w:space="0" w:color="FFFFFF"/>
              <w:right w:val="single" w:sz="4" w:space="0" w:color="FFFFFF"/>
            </w:tcBorders>
            <w:shd w:val="clear" w:color="000000" w:fill="95B3D7"/>
            <w:noWrap/>
            <w:vAlign w:val="center"/>
            <w:hideMark/>
          </w:tcPr>
          <w:p w:rsidR="00BF1293" w:rsidRPr="00B922F7" w:rsidRDefault="00BF1293" w:rsidP="00954A74">
            <w:pPr>
              <w:spacing w:after="0" w:line="240" w:lineRule="auto"/>
              <w:jc w:val="center"/>
              <w:rPr>
                <w:rFonts w:eastAsia="Times New Roman" w:cs="Times New Roman"/>
                <w:b/>
                <w:bCs/>
                <w:color w:val="FFFFFF"/>
              </w:rPr>
            </w:pPr>
            <w:r w:rsidRPr="00B922F7">
              <w:rPr>
                <w:rFonts w:eastAsia="Times New Roman" w:cs="Times New Roman"/>
                <w:b/>
                <w:bCs/>
                <w:color w:val="FFFFFF"/>
              </w:rPr>
              <w:t>I</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39,3</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-0,7</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20,6</w:t>
            </w:r>
          </w:p>
        </w:tc>
        <w:tc>
          <w:tcPr>
            <w:tcW w:w="1564" w:type="dxa"/>
            <w:tcBorders>
              <w:top w:val="nil"/>
              <w:left w:val="nil"/>
              <w:bottom w:val="single" w:sz="4" w:space="0" w:color="auto"/>
              <w:right w:val="single" w:sz="4" w:space="0" w:color="auto"/>
            </w:tcBorders>
            <w:shd w:val="clear" w:color="000000" w:fill="DCE6F1"/>
            <w:noWrap/>
            <w:vAlign w:val="bottom"/>
            <w:hideMark/>
          </w:tcPr>
          <w:p w:rsidR="00BF1293" w:rsidRPr="00B922F7" w:rsidRDefault="00BF1293" w:rsidP="00954A74">
            <w:pPr>
              <w:spacing w:after="0" w:line="240" w:lineRule="auto"/>
              <w:jc w:val="center"/>
              <w:rPr>
                <w:rFonts w:eastAsia="Times New Roman" w:cs="Times New Roman"/>
                <w:color w:val="000000"/>
              </w:rPr>
            </w:pPr>
            <w:r w:rsidRPr="00B922F7">
              <w:rPr>
                <w:rFonts w:eastAsia="Times New Roman" w:cs="Times New Roman"/>
                <w:color w:val="000000"/>
              </w:rPr>
              <w:t>40,8</w:t>
            </w:r>
          </w:p>
        </w:tc>
      </w:tr>
    </w:tbl>
    <w:p w:rsidR="00BF1293" w:rsidRDefault="00BF1293" w:rsidP="00C74CBA">
      <w:pPr>
        <w:rPr>
          <w:rFonts w:ascii="Times New Roman" w:hAnsi="Times New Roman" w:cs="Times New Roman"/>
          <w:b/>
          <w:sz w:val="20"/>
          <w:szCs w:val="20"/>
        </w:rPr>
      </w:pPr>
    </w:p>
    <w:p w:rsidR="00423253" w:rsidRPr="00245C55" w:rsidRDefault="00423253" w:rsidP="00423253">
      <w:pPr>
        <w:pStyle w:val="rresim"/>
        <w:rPr>
          <w:rFonts w:cs="Times New Roman"/>
          <w:b/>
          <w:sz w:val="16"/>
          <w:szCs w:val="14"/>
        </w:rPr>
      </w:pPr>
      <w:r w:rsidRPr="00423253">
        <w:rPr>
          <w:b/>
        </w:rPr>
        <w:lastRenderedPageBreak/>
        <w:t>Şekil 1: 2018-2019 zaman aralığında GSYH değişim, çeyreklik dönem, milyar TL</w:t>
      </w:r>
      <w:r w:rsidRPr="00423253">
        <w:rPr>
          <w:b/>
        </w:rPr>
        <w:tab/>
      </w:r>
      <w:r w:rsidRPr="00423253">
        <w:rPr>
          <w:b/>
          <w:sz w:val="14"/>
        </w:rPr>
        <w:tab/>
      </w:r>
      <w:r w:rsidRPr="00423253">
        <w:rPr>
          <w:b/>
          <w:sz w:val="16"/>
        </w:rPr>
        <w:tab/>
      </w:r>
      <w:r>
        <w:rPr>
          <w:noProof/>
        </w:rPr>
        <w:drawing>
          <wp:inline distT="0" distB="0" distL="0" distR="0" wp14:anchorId="69E10D06" wp14:editId="79BD8E85">
            <wp:extent cx="5539441" cy="2781300"/>
            <wp:effectExtent l="0" t="0" r="4445"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23253" w:rsidRPr="00423253" w:rsidRDefault="00423253" w:rsidP="00423253">
      <w:pPr>
        <w:pStyle w:val="rresim"/>
        <w:rPr>
          <w:b/>
        </w:rPr>
      </w:pPr>
      <w:r w:rsidRPr="00423253">
        <w:rPr>
          <w:b/>
        </w:rPr>
        <w:t>Şekil 2: GSYH, harcama yöntemiyle zincirlenmiş endeks ve değişim oranları,</w:t>
      </w:r>
      <w:r w:rsidRPr="00423253">
        <w:rPr>
          <w:b/>
        </w:rPr>
        <w:br/>
        <w:t>I. Çeyrek 2018- I. Çeyrek 2019</w:t>
      </w:r>
    </w:p>
    <w:p w:rsidR="00423253" w:rsidRPr="00245C55" w:rsidRDefault="00423253" w:rsidP="00423253">
      <w:pPr>
        <w:rPr>
          <w:rFonts w:cs="Times New Roman"/>
          <w:sz w:val="14"/>
          <w:szCs w:val="14"/>
        </w:rPr>
      </w:pPr>
      <w:r>
        <w:rPr>
          <w:noProof/>
        </w:rPr>
        <w:drawing>
          <wp:inline distT="0" distB="0" distL="0" distR="0" wp14:anchorId="7811815E" wp14:editId="529CF97E">
            <wp:extent cx="5591175" cy="3098800"/>
            <wp:effectExtent l="0" t="0" r="9525" b="6350"/>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23253" w:rsidRPr="00245C55" w:rsidRDefault="00423253" w:rsidP="00423253">
      <w:pPr>
        <w:jc w:val="center"/>
        <w:rPr>
          <w:rFonts w:cs="Times New Roman"/>
          <w:sz w:val="14"/>
          <w:szCs w:val="14"/>
        </w:rPr>
      </w:pPr>
    </w:p>
    <w:p w:rsidR="00423253" w:rsidRDefault="00423253" w:rsidP="00C74CBA">
      <w:pPr>
        <w:rPr>
          <w:rFonts w:ascii="Times New Roman" w:hAnsi="Times New Roman" w:cs="Times New Roman"/>
          <w:b/>
          <w:sz w:val="20"/>
          <w:szCs w:val="20"/>
        </w:rPr>
        <w:sectPr w:rsidR="00423253">
          <w:pgSz w:w="11906" w:h="16838"/>
          <w:pgMar w:top="1417" w:right="1417" w:bottom="1417" w:left="1417" w:header="708" w:footer="708" w:gutter="0"/>
          <w:cols w:space="708"/>
          <w:docGrid w:linePitch="360"/>
        </w:sectPr>
      </w:pPr>
    </w:p>
    <w:tbl>
      <w:tblPr>
        <w:tblpPr w:leftFromText="141" w:rightFromText="141" w:vertAnchor="text" w:horzAnchor="margin" w:tblpY="414"/>
        <w:tblW w:w="12591" w:type="dxa"/>
        <w:tblCellMar>
          <w:left w:w="70" w:type="dxa"/>
          <w:right w:w="70" w:type="dxa"/>
        </w:tblCellMar>
        <w:tblLook w:val="04A0" w:firstRow="1" w:lastRow="0" w:firstColumn="1" w:lastColumn="0" w:noHBand="0" w:noVBand="1"/>
      </w:tblPr>
      <w:tblGrid>
        <w:gridCol w:w="2845"/>
        <w:gridCol w:w="1730"/>
        <w:gridCol w:w="478"/>
        <w:gridCol w:w="312"/>
        <w:gridCol w:w="398"/>
        <w:gridCol w:w="389"/>
        <w:gridCol w:w="1508"/>
        <w:gridCol w:w="641"/>
        <w:gridCol w:w="312"/>
        <w:gridCol w:w="398"/>
        <w:gridCol w:w="389"/>
        <w:gridCol w:w="1477"/>
        <w:gridCol w:w="610"/>
        <w:gridCol w:w="312"/>
        <w:gridCol w:w="398"/>
        <w:gridCol w:w="387"/>
        <w:gridCol w:w="7"/>
      </w:tblGrid>
      <w:tr w:rsidR="00423253" w:rsidRPr="001960BF" w:rsidTr="00423253">
        <w:trPr>
          <w:trHeight w:val="508"/>
        </w:trPr>
        <w:tc>
          <w:tcPr>
            <w:tcW w:w="2845" w:type="dxa"/>
            <w:tcBorders>
              <w:top w:val="nil"/>
              <w:left w:val="nil"/>
              <w:bottom w:val="nil"/>
              <w:right w:val="nil"/>
            </w:tcBorders>
            <w:shd w:val="clear" w:color="auto" w:fill="auto"/>
            <w:noWrap/>
            <w:vAlign w:val="center"/>
            <w:hideMark/>
          </w:tcPr>
          <w:p w:rsidR="00423253" w:rsidRPr="001960BF" w:rsidRDefault="00423253" w:rsidP="00423253">
            <w:pPr>
              <w:spacing w:after="0" w:line="240" w:lineRule="auto"/>
              <w:rPr>
                <w:rFonts w:eastAsia="Times New Roman" w:cs="Times New Roman"/>
                <w:sz w:val="20"/>
                <w:szCs w:val="20"/>
              </w:rPr>
            </w:pPr>
          </w:p>
        </w:tc>
        <w:tc>
          <w:tcPr>
            <w:tcW w:w="3307" w:type="dxa"/>
            <w:gridSpan w:val="5"/>
            <w:tcBorders>
              <w:top w:val="single" w:sz="4" w:space="0" w:color="FFFFFF"/>
              <w:left w:val="single" w:sz="4" w:space="0" w:color="FFFFFF"/>
              <w:bottom w:val="single" w:sz="4" w:space="0" w:color="FFFFFF"/>
              <w:right w:val="single" w:sz="4" w:space="0" w:color="FFFFFF"/>
            </w:tcBorders>
            <w:shd w:val="clear" w:color="000000" w:fill="1F497D"/>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 xml:space="preserve">Hacim </w:t>
            </w:r>
            <w:r w:rsidRPr="001960BF">
              <w:rPr>
                <w:rFonts w:eastAsia="Times New Roman" w:cs="Times New Roman"/>
                <w:b/>
                <w:bCs/>
                <w:color w:val="FFFFFF"/>
              </w:rPr>
              <w:br/>
              <w:t xml:space="preserve"> (Milyar TL)</w:t>
            </w:r>
          </w:p>
        </w:tc>
        <w:tc>
          <w:tcPr>
            <w:tcW w:w="3248" w:type="dxa"/>
            <w:gridSpan w:val="5"/>
            <w:tcBorders>
              <w:top w:val="single" w:sz="4" w:space="0" w:color="FFFFFF"/>
              <w:left w:val="nil"/>
              <w:bottom w:val="single" w:sz="4" w:space="0" w:color="FFFFFF"/>
              <w:right w:val="single" w:sz="4" w:space="0" w:color="FFFFFF"/>
            </w:tcBorders>
            <w:shd w:val="clear" w:color="000000" w:fill="1F497D"/>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Endeks</w:t>
            </w:r>
          </w:p>
        </w:tc>
        <w:tc>
          <w:tcPr>
            <w:tcW w:w="3191" w:type="dxa"/>
            <w:gridSpan w:val="6"/>
            <w:tcBorders>
              <w:top w:val="single" w:sz="4" w:space="0" w:color="FFFFFF"/>
              <w:left w:val="nil"/>
              <w:bottom w:val="single" w:sz="4" w:space="0" w:color="FFFFFF"/>
              <w:right w:val="single" w:sz="4" w:space="0" w:color="FFFFFF"/>
            </w:tcBorders>
            <w:shd w:val="clear" w:color="000000" w:fill="1F497D"/>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Bir önceki yılın aynı çeyreğine göre değişim oranı</w:t>
            </w:r>
          </w:p>
        </w:tc>
      </w:tr>
      <w:tr w:rsidR="00423253" w:rsidRPr="001960BF" w:rsidTr="00423253">
        <w:trPr>
          <w:trHeight w:val="261"/>
        </w:trPr>
        <w:tc>
          <w:tcPr>
            <w:tcW w:w="2845" w:type="dxa"/>
            <w:tcBorders>
              <w:top w:val="nil"/>
              <w:left w:val="nil"/>
              <w:bottom w:val="nil"/>
              <w:right w:val="nil"/>
            </w:tcBorders>
            <w:shd w:val="clear" w:color="auto" w:fill="auto"/>
            <w:noWrap/>
            <w:vAlign w:val="center"/>
            <w:hideMark/>
          </w:tcPr>
          <w:p w:rsidR="00423253" w:rsidRPr="001960BF" w:rsidRDefault="00423253" w:rsidP="00423253">
            <w:pPr>
              <w:spacing w:after="0" w:line="240" w:lineRule="auto"/>
              <w:rPr>
                <w:rFonts w:eastAsia="Times New Roman" w:cs="Times New Roman"/>
                <w:sz w:val="20"/>
                <w:szCs w:val="20"/>
              </w:rPr>
            </w:pPr>
          </w:p>
        </w:tc>
        <w:tc>
          <w:tcPr>
            <w:tcW w:w="1730" w:type="dxa"/>
            <w:tcBorders>
              <w:top w:val="nil"/>
              <w:left w:val="single" w:sz="4" w:space="0" w:color="FFFFFF"/>
              <w:bottom w:val="single" w:sz="4" w:space="0" w:color="FFFFFF"/>
              <w:right w:val="single" w:sz="4" w:space="0" w:color="FFFFFF"/>
            </w:tcBorders>
            <w:shd w:val="clear" w:color="000000" w:fill="95B3D7"/>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 </w:t>
            </w:r>
          </w:p>
        </w:tc>
        <w:tc>
          <w:tcPr>
            <w:tcW w:w="1577"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Çeyrek</w:t>
            </w:r>
          </w:p>
        </w:tc>
        <w:tc>
          <w:tcPr>
            <w:tcW w:w="1508" w:type="dxa"/>
            <w:tcBorders>
              <w:top w:val="nil"/>
              <w:left w:val="nil"/>
              <w:bottom w:val="single" w:sz="4" w:space="0" w:color="FFFFFF"/>
              <w:right w:val="single" w:sz="4" w:space="0" w:color="FFFFFF"/>
            </w:tcBorders>
            <w:shd w:val="clear" w:color="000000" w:fill="95B3D7"/>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 </w:t>
            </w:r>
          </w:p>
        </w:tc>
        <w:tc>
          <w:tcPr>
            <w:tcW w:w="1740" w:type="dxa"/>
            <w:gridSpan w:val="4"/>
            <w:tcBorders>
              <w:top w:val="single" w:sz="4" w:space="0" w:color="FFFFFF"/>
              <w:left w:val="nil"/>
              <w:bottom w:val="single" w:sz="4" w:space="0" w:color="FFFFFF"/>
              <w:right w:val="single" w:sz="4" w:space="0" w:color="FFFFFF"/>
            </w:tcBorders>
            <w:shd w:val="clear" w:color="000000" w:fill="95B3D7"/>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Çeyrek</w:t>
            </w:r>
          </w:p>
        </w:tc>
        <w:tc>
          <w:tcPr>
            <w:tcW w:w="1477" w:type="dxa"/>
            <w:tcBorders>
              <w:top w:val="nil"/>
              <w:left w:val="nil"/>
              <w:bottom w:val="single" w:sz="4" w:space="0" w:color="FFFFFF"/>
              <w:right w:val="single" w:sz="4" w:space="0" w:color="FFFFFF"/>
            </w:tcBorders>
            <w:shd w:val="clear" w:color="000000" w:fill="95B3D7"/>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 </w:t>
            </w:r>
          </w:p>
        </w:tc>
        <w:tc>
          <w:tcPr>
            <w:tcW w:w="1714" w:type="dxa"/>
            <w:gridSpan w:val="5"/>
            <w:tcBorders>
              <w:top w:val="single" w:sz="4" w:space="0" w:color="FFFFFF"/>
              <w:left w:val="nil"/>
              <w:bottom w:val="single" w:sz="4" w:space="0" w:color="FFFFFF"/>
              <w:right w:val="single" w:sz="4" w:space="0" w:color="FFFFFF"/>
            </w:tcBorders>
            <w:shd w:val="clear" w:color="000000" w:fill="95B3D7"/>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Çeyrek</w:t>
            </w:r>
          </w:p>
        </w:tc>
      </w:tr>
      <w:tr w:rsidR="00423253" w:rsidRPr="001960BF" w:rsidTr="00423253">
        <w:trPr>
          <w:gridAfter w:val="1"/>
          <w:wAfter w:w="7" w:type="dxa"/>
          <w:trHeight w:val="472"/>
        </w:trPr>
        <w:tc>
          <w:tcPr>
            <w:tcW w:w="2845" w:type="dxa"/>
            <w:tcBorders>
              <w:top w:val="nil"/>
              <w:left w:val="nil"/>
              <w:bottom w:val="nil"/>
              <w:right w:val="nil"/>
            </w:tcBorders>
            <w:shd w:val="clear" w:color="auto" w:fill="auto"/>
            <w:noWrap/>
            <w:vAlign w:val="center"/>
            <w:hideMark/>
          </w:tcPr>
          <w:p w:rsidR="00423253" w:rsidRPr="001960BF" w:rsidRDefault="00423253" w:rsidP="00423253">
            <w:pPr>
              <w:spacing w:after="0" w:line="240" w:lineRule="auto"/>
              <w:rPr>
                <w:rFonts w:eastAsia="Times New Roman" w:cs="Times New Roman"/>
                <w:sz w:val="20"/>
                <w:szCs w:val="20"/>
              </w:rPr>
            </w:pPr>
          </w:p>
        </w:tc>
        <w:tc>
          <w:tcPr>
            <w:tcW w:w="1730" w:type="dxa"/>
            <w:tcBorders>
              <w:top w:val="nil"/>
              <w:left w:val="single" w:sz="4" w:space="0" w:color="FFFFFF"/>
              <w:bottom w:val="nil"/>
              <w:right w:val="single" w:sz="4" w:space="0" w:color="FFFFFF"/>
            </w:tcBorders>
            <w:shd w:val="clear" w:color="000000" w:fill="DCE6F1"/>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2018 IV. Çeyrek</w:t>
            </w:r>
          </w:p>
        </w:tc>
        <w:tc>
          <w:tcPr>
            <w:tcW w:w="478"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w:t>
            </w:r>
          </w:p>
        </w:tc>
        <w:tc>
          <w:tcPr>
            <w:tcW w:w="312"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II</w:t>
            </w:r>
          </w:p>
        </w:tc>
        <w:tc>
          <w:tcPr>
            <w:tcW w:w="398"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III</w:t>
            </w:r>
          </w:p>
        </w:tc>
        <w:tc>
          <w:tcPr>
            <w:tcW w:w="389"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IV</w:t>
            </w:r>
          </w:p>
        </w:tc>
        <w:tc>
          <w:tcPr>
            <w:tcW w:w="1508" w:type="dxa"/>
            <w:tcBorders>
              <w:top w:val="nil"/>
              <w:left w:val="nil"/>
              <w:bottom w:val="nil"/>
              <w:right w:val="single" w:sz="4" w:space="0" w:color="FFFFFF"/>
            </w:tcBorders>
            <w:shd w:val="clear" w:color="000000" w:fill="DCE6F1"/>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2018 IV. Çeyrek</w:t>
            </w:r>
          </w:p>
        </w:tc>
        <w:tc>
          <w:tcPr>
            <w:tcW w:w="641"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w:t>
            </w:r>
          </w:p>
        </w:tc>
        <w:tc>
          <w:tcPr>
            <w:tcW w:w="312"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II</w:t>
            </w:r>
          </w:p>
        </w:tc>
        <w:tc>
          <w:tcPr>
            <w:tcW w:w="398"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III</w:t>
            </w:r>
          </w:p>
        </w:tc>
        <w:tc>
          <w:tcPr>
            <w:tcW w:w="389"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IV</w:t>
            </w:r>
          </w:p>
        </w:tc>
        <w:tc>
          <w:tcPr>
            <w:tcW w:w="1477" w:type="dxa"/>
            <w:tcBorders>
              <w:top w:val="nil"/>
              <w:left w:val="nil"/>
              <w:bottom w:val="nil"/>
              <w:right w:val="single" w:sz="4" w:space="0" w:color="FFFFFF"/>
            </w:tcBorders>
            <w:shd w:val="clear" w:color="000000" w:fill="DCE6F1"/>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2018 IV. Çeyrek</w:t>
            </w:r>
          </w:p>
        </w:tc>
        <w:tc>
          <w:tcPr>
            <w:tcW w:w="610"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w:t>
            </w:r>
          </w:p>
        </w:tc>
        <w:tc>
          <w:tcPr>
            <w:tcW w:w="312"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II</w:t>
            </w:r>
          </w:p>
        </w:tc>
        <w:tc>
          <w:tcPr>
            <w:tcW w:w="398"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III</w:t>
            </w:r>
          </w:p>
        </w:tc>
        <w:tc>
          <w:tcPr>
            <w:tcW w:w="387" w:type="dxa"/>
            <w:tcBorders>
              <w:top w:val="nil"/>
              <w:left w:val="nil"/>
              <w:bottom w:val="nil"/>
              <w:right w:val="single" w:sz="4" w:space="0" w:color="FFFFFF"/>
            </w:tcBorders>
            <w:shd w:val="clear" w:color="000000" w:fill="DCE6F1"/>
            <w:noWrap/>
            <w:vAlign w:val="center"/>
            <w:hideMark/>
          </w:tcPr>
          <w:p w:rsidR="00423253" w:rsidRPr="001960BF" w:rsidRDefault="00423253" w:rsidP="00423253">
            <w:pPr>
              <w:spacing w:after="0" w:line="240" w:lineRule="auto"/>
              <w:jc w:val="center"/>
              <w:rPr>
                <w:rFonts w:eastAsia="Times New Roman" w:cs="Times New Roman"/>
                <w:b/>
                <w:bCs/>
                <w:color w:val="FFFFFF"/>
              </w:rPr>
            </w:pPr>
            <w:r w:rsidRPr="001960BF">
              <w:rPr>
                <w:rFonts w:eastAsia="Times New Roman" w:cs="Times New Roman"/>
                <w:b/>
                <w:bCs/>
                <w:color w:val="FFFFFF"/>
              </w:rPr>
              <w:t>IV</w:t>
            </w:r>
          </w:p>
        </w:tc>
      </w:tr>
      <w:tr w:rsidR="00423253" w:rsidRPr="001960BF" w:rsidTr="00423253">
        <w:trPr>
          <w:gridAfter w:val="1"/>
          <w:wAfter w:w="7" w:type="dxa"/>
          <w:trHeight w:val="261"/>
        </w:trPr>
        <w:tc>
          <w:tcPr>
            <w:tcW w:w="2845" w:type="dxa"/>
            <w:tcBorders>
              <w:top w:val="single" w:sz="4" w:space="0" w:color="FFFFFF"/>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Tarım, ormancılık ve balıkçılık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25</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11</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122,1</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52,6</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-0,5</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2,5</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Sanayi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89</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81</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193,0</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175,5</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-6,4</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-4,3</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İmalat sanayi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74</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67</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194,7</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177,4</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-7,4</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-4,7</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İnşaat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31</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24</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220,6</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172,8</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-8,7</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-10,9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Hizmetler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107</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196,5</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162,9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-0,3</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-4,0</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Bilgi ve iletişim</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11</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228,2</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157,1</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2,9</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2,3</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Finans ve sigorta faaliyetleri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161,2</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206,4</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-16,2</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Gayrimenkul faaliyetleri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36</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36</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137,4</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138,8</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4,7</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2,0</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51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Mesleki, idari ve destek hizmet faaliyetleri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25</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226,5</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175,1</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-10,2</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-13,0</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51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Kamu yönetimi, eğitim, insan sağlığı ve sosyal hizmet faaliyetleri</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45</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46</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151,6</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154,8</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5,7</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8,8</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Diğer hizmet faaliyetleri </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170,4</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162,7</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-2,6</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-2,0</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Sektörler toplamı</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400</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344</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179,5</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154,4</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-2,3</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-2,1</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26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Vergi-sübvansiyon</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51</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41</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189,5</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151,9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-8,1</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-6,9</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r w:rsidR="00423253" w:rsidRPr="001960BF" w:rsidTr="00423253">
        <w:trPr>
          <w:gridAfter w:val="1"/>
          <w:wAfter w:w="7" w:type="dxa"/>
          <w:trHeight w:val="511"/>
        </w:trPr>
        <w:tc>
          <w:tcPr>
            <w:tcW w:w="2845" w:type="dxa"/>
            <w:tcBorders>
              <w:top w:val="nil"/>
              <w:left w:val="nil"/>
              <w:bottom w:val="single" w:sz="4" w:space="0" w:color="FFFFFF"/>
              <w:right w:val="single" w:sz="4" w:space="0" w:color="FFFFFF"/>
            </w:tcBorders>
            <w:shd w:val="clear" w:color="000000" w:fill="1F497D"/>
            <w:vAlign w:val="bottom"/>
            <w:hideMark/>
          </w:tcPr>
          <w:p w:rsidR="00423253" w:rsidRPr="001960BF" w:rsidRDefault="00423253" w:rsidP="00423253">
            <w:pPr>
              <w:spacing w:after="0" w:line="240" w:lineRule="auto"/>
              <w:rPr>
                <w:rFonts w:eastAsia="Times New Roman" w:cs="Times New Roman"/>
                <w:b/>
                <w:bCs/>
                <w:color w:val="FFFFFF"/>
              </w:rPr>
            </w:pPr>
            <w:r w:rsidRPr="001960BF">
              <w:rPr>
                <w:rFonts w:eastAsia="Times New Roman" w:cs="Times New Roman"/>
                <w:b/>
                <w:bCs/>
                <w:color w:val="FFFFFF"/>
              </w:rPr>
              <w:t xml:space="preserve">Gayrisafi yurt içi </w:t>
            </w:r>
            <w:proofErr w:type="gramStart"/>
            <w:r w:rsidRPr="001960BF">
              <w:rPr>
                <w:rFonts w:eastAsia="Times New Roman" w:cs="Times New Roman"/>
                <w:b/>
                <w:bCs/>
                <w:color w:val="FFFFFF"/>
              </w:rPr>
              <w:t>hasıla</w:t>
            </w:r>
            <w:proofErr w:type="gramEnd"/>
            <w:r w:rsidRPr="001960BF">
              <w:rPr>
                <w:rFonts w:eastAsia="Times New Roman" w:cs="Times New Roman"/>
                <w:b/>
                <w:bCs/>
                <w:color w:val="FFFFFF"/>
              </w:rPr>
              <w:t xml:space="preserve"> (alıcı fiyatlarıyla)</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451</w:t>
            </w:r>
          </w:p>
        </w:tc>
        <w:tc>
          <w:tcPr>
            <w:tcW w:w="47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385</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50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180,5</w:t>
            </w:r>
          </w:p>
        </w:tc>
        <w:tc>
          <w:tcPr>
            <w:tcW w:w="641"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154,2</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9"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147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-3,0</w:t>
            </w:r>
          </w:p>
        </w:tc>
        <w:tc>
          <w:tcPr>
            <w:tcW w:w="610"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-2,6</w:t>
            </w:r>
          </w:p>
        </w:tc>
        <w:tc>
          <w:tcPr>
            <w:tcW w:w="312"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98"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c>
          <w:tcPr>
            <w:tcW w:w="387" w:type="dxa"/>
            <w:tcBorders>
              <w:top w:val="nil"/>
              <w:left w:val="nil"/>
              <w:bottom w:val="single" w:sz="4" w:space="0" w:color="auto"/>
              <w:right w:val="single" w:sz="4" w:space="0" w:color="auto"/>
            </w:tcBorders>
            <w:shd w:val="clear" w:color="auto" w:fill="auto"/>
            <w:noWrap/>
            <w:vAlign w:val="center"/>
            <w:hideMark/>
          </w:tcPr>
          <w:p w:rsidR="00423253" w:rsidRPr="001960BF" w:rsidRDefault="00423253" w:rsidP="00423253">
            <w:pPr>
              <w:spacing w:after="0" w:line="240" w:lineRule="auto"/>
              <w:jc w:val="center"/>
              <w:rPr>
                <w:rFonts w:eastAsia="Times New Roman" w:cs="Times New Roman"/>
                <w:color w:val="000000"/>
              </w:rPr>
            </w:pPr>
            <w:r w:rsidRPr="001960BF">
              <w:rPr>
                <w:rFonts w:eastAsia="Times New Roman" w:cs="Times New Roman"/>
                <w:color w:val="000000"/>
              </w:rPr>
              <w:t>-</w:t>
            </w:r>
          </w:p>
        </w:tc>
      </w:tr>
    </w:tbl>
    <w:p w:rsidR="00423253" w:rsidRPr="00A513CE" w:rsidRDefault="00423253" w:rsidP="00423253">
      <w:pPr>
        <w:rPr>
          <w:rFonts w:cs="Times New Roman"/>
          <w:b/>
          <w:sz w:val="16"/>
          <w:szCs w:val="14"/>
        </w:rPr>
      </w:pPr>
      <w:r>
        <w:rPr>
          <w:rFonts w:ascii="Times New Roman" w:hAnsi="Times New Roman" w:cs="Times New Roman"/>
          <w:b/>
          <w:sz w:val="20"/>
          <w:szCs w:val="20"/>
        </w:rPr>
        <w:t xml:space="preserve">  </w:t>
      </w:r>
      <w:r w:rsidRPr="00A513CE">
        <w:rPr>
          <w:rFonts w:cs="Times New Roman"/>
          <w:b/>
        </w:rPr>
        <w:t>Tablo 3: GSYH, , iktisadi faaliyet kollarına göre A10 düzeyinde zincirlenmiş hacim,</w:t>
      </w:r>
      <w:r>
        <w:rPr>
          <w:rFonts w:cs="Times New Roman"/>
          <w:b/>
        </w:rPr>
        <w:t xml:space="preserve"> endeks ve değişim oranları, I</w:t>
      </w:r>
      <w:r w:rsidRPr="00A513CE">
        <w:rPr>
          <w:rFonts w:cs="Times New Roman"/>
          <w:b/>
        </w:rPr>
        <w:t xml:space="preserve">. Çeyrek: </w:t>
      </w:r>
      <w:r>
        <w:rPr>
          <w:rFonts w:cs="Times New Roman"/>
          <w:b/>
        </w:rPr>
        <w:t>Ocak-Mart, 2019</w:t>
      </w:r>
    </w:p>
    <w:p w:rsidR="00423253" w:rsidRPr="00567194" w:rsidRDefault="00423253" w:rsidP="00423253">
      <w:pPr>
        <w:rPr>
          <w:rFonts w:cs="Times New Roman"/>
          <w:b/>
          <w:sz w:val="20"/>
          <w:szCs w:val="14"/>
        </w:rPr>
      </w:pPr>
      <w:r w:rsidRPr="008B63DE">
        <w:rPr>
          <w:rFonts w:cs="Times New Roman"/>
          <w:b/>
          <w:sz w:val="20"/>
          <w:szCs w:val="14"/>
        </w:rPr>
        <w:t xml:space="preserve"> </w:t>
      </w:r>
    </w:p>
    <w:p w:rsidR="00423253" w:rsidRDefault="00423253" w:rsidP="00423253">
      <w:pPr>
        <w:rPr>
          <w:rFonts w:cs="Times New Roman"/>
          <w:b/>
          <w:sz w:val="20"/>
          <w:szCs w:val="14"/>
        </w:rPr>
      </w:pPr>
      <w:r w:rsidRPr="00567194">
        <w:rPr>
          <w:rFonts w:cs="Times New Roman"/>
          <w:b/>
          <w:sz w:val="20"/>
          <w:szCs w:val="14"/>
        </w:rPr>
        <w:t xml:space="preserve"> </w:t>
      </w: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rFonts w:cs="Times New Roman"/>
          <w:b/>
          <w:sz w:val="20"/>
          <w:szCs w:val="14"/>
        </w:rPr>
      </w:pPr>
    </w:p>
    <w:p w:rsidR="00423253" w:rsidRDefault="00423253" w:rsidP="00423253">
      <w:pPr>
        <w:rPr>
          <w:szCs w:val="24"/>
        </w:rPr>
      </w:pPr>
      <w:r w:rsidRPr="00030D4B">
        <w:rPr>
          <w:szCs w:val="24"/>
        </w:rPr>
        <w:t>İl bazında GSYH değerleri incelendiğinde 2017</w:t>
      </w:r>
      <w:r>
        <w:rPr>
          <w:szCs w:val="24"/>
        </w:rPr>
        <w:t xml:space="preserve"> yılı verilerine göre 970 milyar</w:t>
      </w:r>
      <w:r w:rsidRPr="00030D4B">
        <w:rPr>
          <w:szCs w:val="24"/>
        </w:rPr>
        <w:t xml:space="preserve"> TL ile İstanbul</w:t>
      </w:r>
      <w:r>
        <w:rPr>
          <w:szCs w:val="24"/>
        </w:rPr>
        <w:t xml:space="preserve"> ilk sırada yer alırken</w:t>
      </w:r>
      <w:r w:rsidRPr="00030D4B">
        <w:rPr>
          <w:szCs w:val="24"/>
        </w:rPr>
        <w:t>,</w:t>
      </w:r>
      <w:r>
        <w:rPr>
          <w:szCs w:val="24"/>
        </w:rPr>
        <w:t xml:space="preserve"> İstanbul’u 281 milyar</w:t>
      </w:r>
      <w:r w:rsidRPr="00030D4B">
        <w:rPr>
          <w:szCs w:val="24"/>
        </w:rPr>
        <w:t xml:space="preserve"> TL il</w:t>
      </w:r>
      <w:r>
        <w:rPr>
          <w:szCs w:val="24"/>
        </w:rPr>
        <w:t>e Ankara ve 191 milyar</w:t>
      </w:r>
      <w:r w:rsidRPr="00030D4B">
        <w:rPr>
          <w:szCs w:val="24"/>
        </w:rPr>
        <w:t xml:space="preserve"> TL ile İzmir </w:t>
      </w:r>
      <w:r>
        <w:rPr>
          <w:szCs w:val="24"/>
        </w:rPr>
        <w:t>takip etmektedir</w:t>
      </w:r>
      <w:r w:rsidRPr="00030D4B">
        <w:rPr>
          <w:szCs w:val="24"/>
        </w:rPr>
        <w:t>. Bu illeri</w:t>
      </w:r>
      <w:r>
        <w:rPr>
          <w:szCs w:val="24"/>
        </w:rPr>
        <w:t xml:space="preserve">n ardından </w:t>
      </w:r>
      <w:r w:rsidRPr="00030D4B">
        <w:rPr>
          <w:szCs w:val="24"/>
        </w:rPr>
        <w:t xml:space="preserve">sırasıyla Bursa, Kocaeli ve Antalya </w:t>
      </w:r>
      <w:r>
        <w:rPr>
          <w:szCs w:val="24"/>
        </w:rPr>
        <w:t>gel</w:t>
      </w:r>
      <w:r w:rsidRPr="00030D4B">
        <w:rPr>
          <w:szCs w:val="24"/>
        </w:rPr>
        <w:t>mektedir.</w:t>
      </w:r>
      <w:r>
        <w:rPr>
          <w:szCs w:val="24"/>
        </w:rPr>
        <w:t xml:space="preserve"> Öte yandan en düşük GSYH değerine sahip iller ise sırasıyla Bayburt, Ardahan ve Tunceli’dir. </w:t>
      </w:r>
    </w:p>
    <w:p w:rsidR="00E0005F" w:rsidRDefault="00E0005F" w:rsidP="00423253">
      <w:pPr>
        <w:rPr>
          <w:szCs w:val="24"/>
        </w:rPr>
        <w:sectPr w:rsidR="00E0005F" w:rsidSect="00423253">
          <w:pgSz w:w="16838" w:h="11906" w:orient="landscape"/>
          <w:pgMar w:top="1417" w:right="1417" w:bottom="1417" w:left="1417" w:header="708" w:footer="708" w:gutter="0"/>
          <w:cols w:space="708"/>
          <w:docGrid w:linePitch="360"/>
        </w:sectPr>
      </w:pPr>
    </w:p>
    <w:p w:rsidR="00E0005F" w:rsidRDefault="00E0005F" w:rsidP="00E0005F">
      <w:pPr>
        <w:rPr>
          <w:rFonts w:cs="Times New Roman"/>
          <w:b/>
          <w:color w:val="000000" w:themeColor="text1"/>
        </w:rPr>
      </w:pPr>
      <w:r w:rsidRPr="00A513CE">
        <w:rPr>
          <w:rFonts w:cs="Times New Roman"/>
          <w:b/>
        </w:rPr>
        <w:lastRenderedPageBreak/>
        <w:t xml:space="preserve">Tablo 4: GSYH içindeki sektörlerin </w:t>
      </w:r>
      <w:r w:rsidRPr="00A513CE">
        <w:rPr>
          <w:rFonts w:cs="Times New Roman"/>
          <w:b/>
          <w:color w:val="000000" w:themeColor="text1"/>
        </w:rPr>
        <w:t>payı</w:t>
      </w:r>
      <w:r>
        <w:rPr>
          <w:rFonts w:cs="Times New Roman"/>
          <w:b/>
          <w:color w:val="000000" w:themeColor="text1"/>
        </w:rPr>
        <w:t>, 2019</w:t>
      </w:r>
    </w:p>
    <w:tbl>
      <w:tblPr>
        <w:tblW w:w="9357" w:type="dxa"/>
        <w:tblCellMar>
          <w:left w:w="0" w:type="dxa"/>
          <w:right w:w="0" w:type="dxa"/>
        </w:tblCellMar>
        <w:tblLook w:val="04A0" w:firstRow="1" w:lastRow="0" w:firstColumn="1" w:lastColumn="0" w:noHBand="0" w:noVBand="1"/>
      </w:tblPr>
      <w:tblGrid>
        <w:gridCol w:w="1924"/>
        <w:gridCol w:w="1617"/>
        <w:gridCol w:w="1453"/>
        <w:gridCol w:w="1453"/>
        <w:gridCol w:w="1453"/>
        <w:gridCol w:w="1457"/>
      </w:tblGrid>
      <w:tr w:rsidR="00DB6CBC" w:rsidTr="00954A74">
        <w:trPr>
          <w:trHeight w:val="326"/>
        </w:trPr>
        <w:tc>
          <w:tcPr>
            <w:tcW w:w="1924" w:type="dxa"/>
            <w:tcBorders>
              <w:top w:val="single" w:sz="4" w:space="0" w:color="FFFFFF"/>
              <w:left w:val="single" w:sz="4" w:space="0" w:color="FFFFFF"/>
              <w:bottom w:val="nil"/>
              <w:right w:val="single" w:sz="4" w:space="0" w:color="FFFFFF"/>
            </w:tcBorders>
            <w:shd w:val="clear" w:color="auto" w:fill="auto"/>
            <w:tcMar>
              <w:top w:w="15" w:type="dxa"/>
              <w:left w:w="15" w:type="dxa"/>
              <w:bottom w:w="0" w:type="dxa"/>
              <w:right w:w="15" w:type="dxa"/>
            </w:tcMar>
            <w:vAlign w:val="center"/>
            <w:hideMark/>
          </w:tcPr>
          <w:p w:rsidR="00DB6CBC" w:rsidRDefault="00DB6CBC" w:rsidP="00954A74">
            <w:pPr>
              <w:rPr>
                <w:rFonts w:eastAsia="Times New Roman"/>
                <w:color w:val="000000"/>
              </w:rPr>
            </w:pPr>
            <w:r w:rsidRPr="00D40A8B">
              <w:rPr>
                <w:szCs w:val="24"/>
              </w:rPr>
              <w:t xml:space="preserve"> </w:t>
            </w:r>
          </w:p>
        </w:tc>
        <w:tc>
          <w:tcPr>
            <w:tcW w:w="7433" w:type="dxa"/>
            <w:gridSpan w:val="5"/>
            <w:tcBorders>
              <w:top w:val="single" w:sz="4" w:space="0" w:color="FFFFFF"/>
              <w:left w:val="nil"/>
              <w:bottom w:val="single" w:sz="4" w:space="0" w:color="FFFFFF"/>
              <w:right w:val="single" w:sz="4" w:space="0" w:color="FFFFFF"/>
            </w:tcBorders>
            <w:shd w:val="clear" w:color="000000" w:fill="1F497D"/>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Sektörlere göre cari fiyatlarla değer payı</w:t>
            </w:r>
          </w:p>
        </w:tc>
      </w:tr>
      <w:tr w:rsidR="00DB6CBC" w:rsidTr="00954A74">
        <w:trPr>
          <w:trHeight w:val="326"/>
        </w:trPr>
        <w:tc>
          <w:tcPr>
            <w:tcW w:w="1924" w:type="dxa"/>
            <w:tcBorders>
              <w:top w:val="single" w:sz="4" w:space="0" w:color="FFFFFF"/>
              <w:left w:val="single" w:sz="4" w:space="0" w:color="FFFFFF"/>
              <w:bottom w:val="nil"/>
              <w:right w:val="single" w:sz="4" w:space="0" w:color="FFFFFF"/>
            </w:tcBorders>
            <w:shd w:val="clear" w:color="auto" w:fill="auto"/>
            <w:tcMar>
              <w:top w:w="15" w:type="dxa"/>
              <w:left w:w="15" w:type="dxa"/>
              <w:bottom w:w="0" w:type="dxa"/>
              <w:right w:w="15" w:type="dxa"/>
            </w:tcMar>
            <w:vAlign w:val="center"/>
            <w:hideMark/>
          </w:tcPr>
          <w:p w:rsidR="00DB6CBC" w:rsidRDefault="00DB6CBC" w:rsidP="00954A74">
            <w:pPr>
              <w:rPr>
                <w:color w:val="000000"/>
              </w:rPr>
            </w:pPr>
            <w:r>
              <w:rPr>
                <w:color w:val="000000"/>
              </w:rPr>
              <w:t> </w:t>
            </w:r>
          </w:p>
        </w:tc>
        <w:tc>
          <w:tcPr>
            <w:tcW w:w="1617" w:type="dxa"/>
            <w:tcBorders>
              <w:top w:val="nil"/>
              <w:left w:val="nil"/>
              <w:bottom w:val="single" w:sz="4" w:space="0" w:color="FFFFFF"/>
              <w:right w:val="single" w:sz="4" w:space="0" w:color="FFFFFF"/>
            </w:tcBorders>
            <w:shd w:val="clear" w:color="000000" w:fill="95B3D7"/>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 </w:t>
            </w:r>
          </w:p>
        </w:tc>
        <w:tc>
          <w:tcPr>
            <w:tcW w:w="5816" w:type="dxa"/>
            <w:gridSpan w:val="4"/>
            <w:tcBorders>
              <w:top w:val="single" w:sz="4" w:space="0" w:color="FFFFFF"/>
              <w:left w:val="nil"/>
              <w:bottom w:val="single" w:sz="4" w:space="0" w:color="FFFFFF"/>
              <w:right w:val="single" w:sz="4" w:space="0" w:color="FFFFFF"/>
            </w:tcBorders>
            <w:shd w:val="clear" w:color="000000" w:fill="95B3D7"/>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Çeyrek</w:t>
            </w:r>
          </w:p>
        </w:tc>
      </w:tr>
      <w:tr w:rsidR="00DB6CBC" w:rsidTr="00954A74">
        <w:trPr>
          <w:trHeight w:val="326"/>
        </w:trPr>
        <w:tc>
          <w:tcPr>
            <w:tcW w:w="1924" w:type="dxa"/>
            <w:tcBorders>
              <w:top w:val="single" w:sz="4" w:space="0" w:color="FFFFFF"/>
              <w:left w:val="single" w:sz="4" w:space="0" w:color="FFFFFF"/>
              <w:bottom w:val="single" w:sz="4" w:space="0" w:color="FFFFFF"/>
              <w:right w:val="single" w:sz="4" w:space="0" w:color="FFFFFF"/>
            </w:tcBorders>
            <w:shd w:val="clear" w:color="auto" w:fill="auto"/>
            <w:tcMar>
              <w:top w:w="15" w:type="dxa"/>
              <w:left w:w="15" w:type="dxa"/>
              <w:bottom w:w="0" w:type="dxa"/>
              <w:right w:w="15" w:type="dxa"/>
            </w:tcMar>
            <w:vAlign w:val="center"/>
            <w:hideMark/>
          </w:tcPr>
          <w:p w:rsidR="00DB6CBC" w:rsidRDefault="00DB6CBC" w:rsidP="00954A74">
            <w:pPr>
              <w:rPr>
                <w:color w:val="000000"/>
              </w:rPr>
            </w:pPr>
            <w:r>
              <w:rPr>
                <w:color w:val="000000"/>
              </w:rPr>
              <w:t> </w:t>
            </w:r>
          </w:p>
        </w:tc>
        <w:tc>
          <w:tcPr>
            <w:tcW w:w="1617" w:type="dxa"/>
            <w:tcBorders>
              <w:top w:val="nil"/>
              <w:left w:val="nil"/>
              <w:bottom w:val="nil"/>
              <w:right w:val="single" w:sz="4" w:space="0" w:color="FFFFFF"/>
            </w:tcBorders>
            <w:shd w:val="clear" w:color="000000" w:fill="DCE6F1"/>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2018 Yılı %Ort.</w:t>
            </w:r>
          </w:p>
        </w:tc>
        <w:tc>
          <w:tcPr>
            <w:tcW w:w="1453" w:type="dxa"/>
            <w:tcBorders>
              <w:top w:val="nil"/>
              <w:left w:val="nil"/>
              <w:bottom w:val="nil"/>
              <w:right w:val="single" w:sz="4" w:space="0" w:color="FFFFFF"/>
            </w:tcBorders>
            <w:shd w:val="clear" w:color="000000" w:fill="DCE6F1"/>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I</w:t>
            </w:r>
          </w:p>
        </w:tc>
        <w:tc>
          <w:tcPr>
            <w:tcW w:w="1453" w:type="dxa"/>
            <w:tcBorders>
              <w:top w:val="nil"/>
              <w:left w:val="nil"/>
              <w:bottom w:val="nil"/>
              <w:right w:val="single" w:sz="4" w:space="0" w:color="FFFFFF"/>
            </w:tcBorders>
            <w:shd w:val="clear" w:color="000000" w:fill="DCE6F1"/>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II</w:t>
            </w:r>
          </w:p>
        </w:tc>
        <w:tc>
          <w:tcPr>
            <w:tcW w:w="1453" w:type="dxa"/>
            <w:tcBorders>
              <w:top w:val="nil"/>
              <w:left w:val="nil"/>
              <w:bottom w:val="nil"/>
              <w:right w:val="single" w:sz="4" w:space="0" w:color="FFFFFF"/>
            </w:tcBorders>
            <w:shd w:val="clear" w:color="000000" w:fill="DCE6F1"/>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III</w:t>
            </w:r>
          </w:p>
        </w:tc>
        <w:tc>
          <w:tcPr>
            <w:tcW w:w="1457" w:type="dxa"/>
            <w:tcBorders>
              <w:top w:val="nil"/>
              <w:left w:val="nil"/>
              <w:bottom w:val="nil"/>
              <w:right w:val="single" w:sz="4" w:space="0" w:color="FFFFFF"/>
            </w:tcBorders>
            <w:shd w:val="clear" w:color="000000" w:fill="DCE6F1"/>
            <w:tcMar>
              <w:top w:w="15" w:type="dxa"/>
              <w:left w:w="15" w:type="dxa"/>
              <w:bottom w:w="0" w:type="dxa"/>
              <w:right w:w="15" w:type="dxa"/>
            </w:tcMar>
            <w:vAlign w:val="center"/>
            <w:hideMark/>
          </w:tcPr>
          <w:p w:rsidR="00DB6CBC" w:rsidRDefault="00DB6CBC" w:rsidP="00954A74">
            <w:pPr>
              <w:jc w:val="center"/>
              <w:rPr>
                <w:b/>
                <w:bCs/>
                <w:color w:val="FFFFFF"/>
              </w:rPr>
            </w:pPr>
            <w:r>
              <w:rPr>
                <w:b/>
                <w:bCs/>
                <w:color w:val="FFFFFF"/>
              </w:rPr>
              <w:t>IV</w:t>
            </w:r>
          </w:p>
        </w:tc>
      </w:tr>
      <w:tr w:rsidR="00DB6CBC" w:rsidTr="00954A74">
        <w:trPr>
          <w:trHeight w:val="326"/>
        </w:trPr>
        <w:tc>
          <w:tcPr>
            <w:tcW w:w="0" w:type="auto"/>
            <w:tcBorders>
              <w:top w:val="nil"/>
              <w:left w:val="single" w:sz="4" w:space="0" w:color="FFFFFF"/>
              <w:bottom w:val="single" w:sz="4" w:space="0" w:color="FFFFFF"/>
              <w:right w:val="single" w:sz="4" w:space="0" w:color="FFFFFF"/>
            </w:tcBorders>
            <w:shd w:val="clear" w:color="000000" w:fill="1F497D"/>
            <w:noWrap/>
            <w:tcMar>
              <w:top w:w="15" w:type="dxa"/>
              <w:left w:w="15" w:type="dxa"/>
              <w:bottom w:w="0" w:type="dxa"/>
              <w:right w:w="15" w:type="dxa"/>
            </w:tcMar>
            <w:vAlign w:val="bottom"/>
            <w:hideMark/>
          </w:tcPr>
          <w:p w:rsidR="00DB6CBC" w:rsidRDefault="00DB6CBC" w:rsidP="00954A74">
            <w:pPr>
              <w:rPr>
                <w:b/>
                <w:bCs/>
                <w:color w:val="FFFFFF"/>
              </w:rPr>
            </w:pPr>
            <w:r>
              <w:rPr>
                <w:b/>
                <w:bCs/>
                <w:color w:val="FFFFFF"/>
              </w:rPr>
              <w:t>Tarım</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6,4%</w:t>
            </w:r>
          </w:p>
        </w:tc>
        <w:tc>
          <w:tcPr>
            <w:tcW w:w="14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3,2%</w:t>
            </w:r>
          </w:p>
        </w:tc>
        <w:tc>
          <w:tcPr>
            <w:tcW w:w="14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c>
          <w:tcPr>
            <w:tcW w:w="14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c>
          <w:tcPr>
            <w:tcW w:w="145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r>
      <w:tr w:rsidR="00DB6CBC" w:rsidTr="00954A74">
        <w:trPr>
          <w:trHeight w:val="326"/>
        </w:trPr>
        <w:tc>
          <w:tcPr>
            <w:tcW w:w="0" w:type="auto"/>
            <w:tcBorders>
              <w:top w:val="nil"/>
              <w:left w:val="single" w:sz="4" w:space="0" w:color="FFFFFF"/>
              <w:bottom w:val="single" w:sz="4" w:space="0" w:color="FFFFFF"/>
              <w:right w:val="single" w:sz="4" w:space="0" w:color="FFFFFF"/>
            </w:tcBorders>
            <w:shd w:val="clear" w:color="000000" w:fill="1F497D"/>
            <w:noWrap/>
            <w:tcMar>
              <w:top w:w="15" w:type="dxa"/>
              <w:left w:w="15" w:type="dxa"/>
              <w:bottom w:w="0" w:type="dxa"/>
              <w:right w:w="15" w:type="dxa"/>
            </w:tcMar>
            <w:vAlign w:val="bottom"/>
            <w:hideMark/>
          </w:tcPr>
          <w:p w:rsidR="00DB6CBC" w:rsidRDefault="00DB6CBC" w:rsidP="00954A74">
            <w:pPr>
              <w:rPr>
                <w:b/>
                <w:bCs/>
                <w:color w:val="FFFFFF"/>
              </w:rPr>
            </w:pPr>
            <w:r>
              <w:rPr>
                <w:b/>
                <w:bCs/>
                <w:color w:val="FFFFFF"/>
              </w:rPr>
              <w:t xml:space="preserve">Sanayi </w:t>
            </w:r>
          </w:p>
        </w:tc>
        <w:tc>
          <w:tcPr>
            <w:tcW w:w="1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33,2%</w:t>
            </w:r>
          </w:p>
        </w:tc>
        <w:tc>
          <w:tcPr>
            <w:tcW w:w="14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32,7%</w:t>
            </w:r>
          </w:p>
        </w:tc>
        <w:tc>
          <w:tcPr>
            <w:tcW w:w="14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c>
          <w:tcPr>
            <w:tcW w:w="14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c>
          <w:tcPr>
            <w:tcW w:w="14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r>
      <w:tr w:rsidR="00DB6CBC" w:rsidTr="00954A74">
        <w:trPr>
          <w:trHeight w:val="326"/>
        </w:trPr>
        <w:tc>
          <w:tcPr>
            <w:tcW w:w="0" w:type="auto"/>
            <w:tcBorders>
              <w:top w:val="nil"/>
              <w:left w:val="single" w:sz="4" w:space="0" w:color="FFFFFF"/>
              <w:bottom w:val="single" w:sz="4" w:space="0" w:color="FFFFFF"/>
              <w:right w:val="single" w:sz="4" w:space="0" w:color="FFFFFF"/>
            </w:tcBorders>
            <w:shd w:val="clear" w:color="000000" w:fill="1F497D"/>
            <w:noWrap/>
            <w:tcMar>
              <w:top w:w="15" w:type="dxa"/>
              <w:left w:w="15" w:type="dxa"/>
              <w:bottom w:w="0" w:type="dxa"/>
              <w:right w:w="15" w:type="dxa"/>
            </w:tcMar>
            <w:vAlign w:val="bottom"/>
            <w:hideMark/>
          </w:tcPr>
          <w:p w:rsidR="00DB6CBC" w:rsidRDefault="00DB6CBC" w:rsidP="00954A74">
            <w:pPr>
              <w:rPr>
                <w:b/>
                <w:bCs/>
                <w:color w:val="FFFFFF"/>
              </w:rPr>
            </w:pPr>
            <w:r>
              <w:rPr>
                <w:b/>
                <w:bCs/>
                <w:color w:val="FFFFFF"/>
              </w:rPr>
              <w:t xml:space="preserve">Hizmetler </w:t>
            </w:r>
          </w:p>
        </w:tc>
        <w:tc>
          <w:tcPr>
            <w:tcW w:w="1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60,4%</w:t>
            </w:r>
          </w:p>
        </w:tc>
        <w:tc>
          <w:tcPr>
            <w:tcW w:w="14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64,1%</w:t>
            </w:r>
          </w:p>
        </w:tc>
        <w:tc>
          <w:tcPr>
            <w:tcW w:w="14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c>
          <w:tcPr>
            <w:tcW w:w="14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c>
          <w:tcPr>
            <w:tcW w:w="14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6CBC" w:rsidRDefault="00DB6CBC" w:rsidP="00954A74">
            <w:pPr>
              <w:jc w:val="center"/>
              <w:rPr>
                <w:color w:val="000000"/>
              </w:rPr>
            </w:pPr>
            <w:r>
              <w:rPr>
                <w:color w:val="000000"/>
              </w:rPr>
              <w:t>-</w:t>
            </w:r>
          </w:p>
        </w:tc>
      </w:tr>
    </w:tbl>
    <w:p w:rsidR="00DB6CBC" w:rsidRDefault="00DB6CBC" w:rsidP="00DB6CBC">
      <w:pPr>
        <w:rPr>
          <w:szCs w:val="24"/>
        </w:rPr>
      </w:pPr>
    </w:p>
    <w:p w:rsidR="00DB6CBC" w:rsidRDefault="00DB6CBC" w:rsidP="00DB6CBC">
      <w:pPr>
        <w:rPr>
          <w:szCs w:val="24"/>
        </w:rPr>
      </w:pPr>
      <w:r>
        <w:rPr>
          <w:szCs w:val="24"/>
        </w:rPr>
        <w:t xml:space="preserve">Diğer bir yandan ülkelerin büyüme oranları uluslararası düzeyde incelendiğinde, Türkiye, 2017 yılında yüzde 7,4’lük bir </w:t>
      </w:r>
      <w:r w:rsidRPr="00030D4B">
        <w:rPr>
          <w:szCs w:val="24"/>
        </w:rPr>
        <w:t>GSYH büyümesi</w:t>
      </w:r>
      <w:r>
        <w:rPr>
          <w:szCs w:val="24"/>
        </w:rPr>
        <w:t xml:space="preserve"> ile dünya genelinde en fazla büyüme gösteren 12’nci ülke olmuştur (Tablo 5). Türkiye, sahip olduğu 851,5 milyar dolar GSYH ile dünyada 17’nci büyük ekonomi olmakla birlikte dünya geneli içinde sergilediği görece yüksek büyüme hızı ile de dünya genelindeki büyük ekonomiler sıralamasındaki yerini üst sıralara taşıması beklenebilmektedir.</w:t>
      </w:r>
    </w:p>
    <w:p w:rsidR="00DB6CBC" w:rsidRDefault="00DB6CBC" w:rsidP="00DB6CBC">
      <w:pPr>
        <w:rPr>
          <w:szCs w:val="24"/>
        </w:rPr>
      </w:pPr>
    </w:p>
    <w:p w:rsidR="00DB6CBC" w:rsidRPr="00A513CE" w:rsidRDefault="00DB6CBC" w:rsidP="00E0005F">
      <w:pPr>
        <w:rPr>
          <w:rFonts w:cs="Times New Roman"/>
          <w:b/>
          <w:sz w:val="16"/>
          <w:szCs w:val="14"/>
        </w:rPr>
      </w:pPr>
    </w:p>
    <w:p w:rsidR="00DB6CBC" w:rsidRDefault="00DB6CBC">
      <w:r>
        <w:br w:type="page"/>
      </w: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DB6CBC" w:rsidTr="00D557D3">
        <w:trPr>
          <w:trHeight w:val="915"/>
        </w:trPr>
        <w:tc>
          <w:tcPr>
            <w:tcW w:w="8754" w:type="dxa"/>
            <w:vAlign w:val="center"/>
          </w:tcPr>
          <w:p w:rsidR="00DB6CBC" w:rsidRPr="00DB6CBC" w:rsidRDefault="00DB6CBC" w:rsidP="00DB6CBC">
            <w:pPr>
              <w:pStyle w:val="stbilgi"/>
              <w:rPr>
                <w:rFonts w:asciiTheme="majorHAnsi" w:eastAsiaTheme="majorEastAsia" w:hAnsiTheme="majorHAnsi" w:cstheme="majorBidi"/>
                <w:b/>
                <w:sz w:val="36"/>
                <w:szCs w:val="36"/>
              </w:rPr>
            </w:pPr>
            <w:r w:rsidRPr="00DB6CBC">
              <w:rPr>
                <w:rFonts w:asciiTheme="majorHAnsi" w:eastAsiaTheme="majorEastAsia" w:hAnsiTheme="majorHAnsi" w:cstheme="majorBidi"/>
                <w:b/>
                <w:sz w:val="36"/>
                <w:szCs w:val="36"/>
              </w:rPr>
              <w:lastRenderedPageBreak/>
              <w:t>2019 NİSAN ÖZEL SEKTÖRÜN YURT DIŞINDAN SAĞLADIĞI KREDİ BORCU GELİŞMELERİ</w:t>
            </w:r>
          </w:p>
        </w:tc>
      </w:tr>
    </w:tbl>
    <w:p w:rsidR="00244AD5" w:rsidRDefault="00244AD5" w:rsidP="00244AD5">
      <w:pPr>
        <w:pStyle w:val="stbilgi"/>
      </w:pPr>
    </w:p>
    <w:p w:rsidR="00244AD5" w:rsidRPr="00F90EAF" w:rsidRDefault="00244AD5" w:rsidP="00244AD5">
      <w:pPr>
        <w:jc w:val="both"/>
        <w:rPr>
          <w:rFonts w:ascii="Times New Roman" w:hAnsi="Times New Roman" w:cs="Times New Roman"/>
          <w:b/>
        </w:rPr>
      </w:pPr>
      <w:r w:rsidRPr="00F90EAF">
        <w:rPr>
          <w:rFonts w:ascii="Times New Roman" w:hAnsi="Times New Roman" w:cs="Times New Roman"/>
          <w:b/>
        </w:rPr>
        <w:t xml:space="preserve">Özel Sektörün </w:t>
      </w:r>
      <w:r>
        <w:rPr>
          <w:rFonts w:ascii="Times New Roman" w:hAnsi="Times New Roman" w:cs="Times New Roman"/>
          <w:b/>
        </w:rPr>
        <w:t>Yurt Dışı</w:t>
      </w:r>
      <w:r w:rsidRPr="00F90EAF">
        <w:rPr>
          <w:rFonts w:ascii="Times New Roman" w:hAnsi="Times New Roman" w:cs="Times New Roman"/>
          <w:b/>
        </w:rPr>
        <w:t xml:space="preserve">ndan Sağladığı Kredi Borcuna ilişkin </w:t>
      </w:r>
      <w:r>
        <w:rPr>
          <w:rFonts w:ascii="Times New Roman" w:hAnsi="Times New Roman" w:cs="Times New Roman"/>
          <w:b/>
        </w:rPr>
        <w:t xml:space="preserve">Nisan 2019 </w:t>
      </w:r>
      <w:r w:rsidRPr="00F90EAF">
        <w:rPr>
          <w:rFonts w:ascii="Times New Roman" w:hAnsi="Times New Roman" w:cs="Times New Roman"/>
          <w:b/>
        </w:rPr>
        <w:t xml:space="preserve">verileri, Türkiye Cumhuriyet Merkez Bankası (TCMB) tarafından </w:t>
      </w:r>
      <w:r>
        <w:rPr>
          <w:rFonts w:ascii="Times New Roman" w:hAnsi="Times New Roman" w:cs="Times New Roman"/>
          <w:b/>
        </w:rPr>
        <w:t>19 Haziran 2019</w:t>
      </w:r>
      <w:r w:rsidRPr="00F90EAF">
        <w:rPr>
          <w:rFonts w:ascii="Times New Roman" w:hAnsi="Times New Roman" w:cs="Times New Roman"/>
          <w:b/>
        </w:rPr>
        <w:t xml:space="preserve"> tarihinde yayımlandı.</w:t>
      </w:r>
      <w:r>
        <w:rPr>
          <w:rStyle w:val="DipnotBavurusu"/>
          <w:rFonts w:ascii="Times New Roman" w:hAnsi="Times New Roman" w:cs="Times New Roman"/>
          <w:b/>
        </w:rPr>
        <w:footnoteReference w:id="8"/>
      </w:r>
    </w:p>
    <w:p w:rsidR="00244AD5" w:rsidRPr="00F90EAF" w:rsidRDefault="00244AD5" w:rsidP="00244AD5">
      <w:pPr>
        <w:jc w:val="both"/>
        <w:rPr>
          <w:rFonts w:ascii="Times New Roman" w:hAnsi="Times New Roman" w:cs="Times New Roman"/>
        </w:rPr>
      </w:pPr>
      <w:r w:rsidRPr="00F90EAF">
        <w:rPr>
          <w:rFonts w:ascii="Times New Roman" w:hAnsi="Times New Roman" w:cs="Times New Roman"/>
        </w:rPr>
        <w:t>Söz konusu veriler, özel sektörün yurt dışından sağladığı kısa ve uzun vadeli kredilerin borçlu ve alacaklı bilgileri, döviz cinsi, kullanım, anapara/faiz ödemeleri ve ödeme planları şeklindeki kredi ayrıntıları, işlemlere aracılık eden bankalar tarafından TCMB’ye işlem bazında gönderilen bildirim formlarından derlenmektedir.</w:t>
      </w:r>
    </w:p>
    <w:p w:rsidR="00244AD5" w:rsidRPr="00F90EAF" w:rsidRDefault="00244AD5" w:rsidP="00244AD5">
      <w:pPr>
        <w:jc w:val="both"/>
        <w:rPr>
          <w:rFonts w:ascii="Times New Roman" w:hAnsi="Times New Roman" w:cs="Times New Roman"/>
        </w:rPr>
      </w:pPr>
      <w:r w:rsidRPr="00F90EAF">
        <w:rPr>
          <w:rFonts w:ascii="Times New Roman" w:hAnsi="Times New Roman" w:cs="Times New Roman"/>
        </w:rPr>
        <w:t>Buna</w:t>
      </w:r>
      <w:r>
        <w:rPr>
          <w:rFonts w:ascii="Times New Roman" w:hAnsi="Times New Roman" w:cs="Times New Roman"/>
        </w:rPr>
        <w:t xml:space="preserve"> göre, 2019</w:t>
      </w:r>
      <w:r w:rsidRPr="00F90EAF">
        <w:rPr>
          <w:rFonts w:ascii="Times New Roman" w:hAnsi="Times New Roman" w:cs="Times New Roman"/>
        </w:rPr>
        <w:t xml:space="preserve"> yılı </w:t>
      </w:r>
      <w:r>
        <w:rPr>
          <w:rFonts w:ascii="Times New Roman" w:hAnsi="Times New Roman" w:cs="Times New Roman"/>
        </w:rPr>
        <w:t>Nisan ayı</w:t>
      </w:r>
      <w:r w:rsidRPr="00F90EAF">
        <w:rPr>
          <w:rFonts w:ascii="Times New Roman" w:hAnsi="Times New Roman" w:cs="Times New Roman"/>
        </w:rPr>
        <w:t xml:space="preserve"> itibarıyla özel sektörün </w:t>
      </w:r>
      <w:r>
        <w:rPr>
          <w:rFonts w:ascii="Times New Roman" w:hAnsi="Times New Roman" w:cs="Times New Roman"/>
        </w:rPr>
        <w:t>yurt dışı</w:t>
      </w:r>
      <w:r w:rsidRPr="00F90EAF">
        <w:rPr>
          <w:rFonts w:ascii="Times New Roman" w:hAnsi="Times New Roman" w:cs="Times New Roman"/>
        </w:rPr>
        <w:t>ndan sağladığı uzun vadeli kredi borcu 201</w:t>
      </w:r>
      <w:r>
        <w:rPr>
          <w:rFonts w:ascii="Times New Roman" w:hAnsi="Times New Roman" w:cs="Times New Roman"/>
        </w:rPr>
        <w:t>8</w:t>
      </w:r>
      <w:r w:rsidRPr="00F90EAF">
        <w:rPr>
          <w:rFonts w:ascii="Times New Roman" w:hAnsi="Times New Roman" w:cs="Times New Roman"/>
        </w:rPr>
        <w:t xml:space="preserve"> yılsonuna göre </w:t>
      </w:r>
      <w:r w:rsidRPr="00F1703C">
        <w:rPr>
          <w:rFonts w:ascii="Times New Roman" w:hAnsi="Times New Roman" w:cs="Times New Roman"/>
        </w:rPr>
        <w:t>%</w:t>
      </w:r>
      <w:r>
        <w:rPr>
          <w:rFonts w:ascii="Times New Roman" w:hAnsi="Times New Roman" w:cs="Times New Roman"/>
        </w:rPr>
        <w:t>1,6</w:t>
      </w:r>
      <w:r w:rsidRPr="00F90EAF">
        <w:rPr>
          <w:rFonts w:ascii="Times New Roman" w:hAnsi="Times New Roman" w:cs="Times New Roman"/>
        </w:rPr>
        <w:t xml:space="preserve"> (</w:t>
      </w:r>
      <w:r>
        <w:rPr>
          <w:rFonts w:ascii="Times New Roman" w:hAnsi="Times New Roman" w:cs="Times New Roman"/>
        </w:rPr>
        <w:t>~3,3 milyar</w:t>
      </w:r>
      <w:r w:rsidRPr="00F90EAF">
        <w:rPr>
          <w:rFonts w:ascii="Times New Roman" w:hAnsi="Times New Roman" w:cs="Times New Roman"/>
        </w:rPr>
        <w:t xml:space="preserve"> dolar)</w:t>
      </w:r>
      <w:r>
        <w:rPr>
          <w:rFonts w:ascii="Times New Roman" w:hAnsi="Times New Roman" w:cs="Times New Roman"/>
        </w:rPr>
        <w:t xml:space="preserve"> azalarak yaklaşık 206,9</w:t>
      </w:r>
      <w:r w:rsidRPr="00F90EAF">
        <w:rPr>
          <w:rFonts w:ascii="Times New Roman" w:hAnsi="Times New Roman" w:cs="Times New Roman"/>
        </w:rPr>
        <w:t xml:space="preserve"> milyar ABD dolar</w:t>
      </w:r>
      <w:r>
        <w:rPr>
          <w:rFonts w:ascii="Times New Roman" w:hAnsi="Times New Roman" w:cs="Times New Roman"/>
        </w:rPr>
        <w:t>ı olmuştur</w:t>
      </w:r>
      <w:r w:rsidRPr="00F90EAF">
        <w:rPr>
          <w:rFonts w:ascii="Times New Roman" w:hAnsi="Times New Roman" w:cs="Times New Roman"/>
        </w:rPr>
        <w:t>. Aynı dönemde kısa vadeli kredi bo</w:t>
      </w:r>
      <w:r>
        <w:rPr>
          <w:rFonts w:ascii="Times New Roman" w:hAnsi="Times New Roman" w:cs="Times New Roman"/>
        </w:rPr>
        <w:t xml:space="preserve">rcu </w:t>
      </w:r>
      <w:r w:rsidRPr="00F1703C">
        <w:rPr>
          <w:rFonts w:ascii="Times New Roman" w:hAnsi="Times New Roman" w:cs="Times New Roman"/>
        </w:rPr>
        <w:t xml:space="preserve">ise </w:t>
      </w:r>
      <w:r>
        <w:rPr>
          <w:rFonts w:ascii="Times New Roman" w:hAnsi="Times New Roman" w:cs="Times New Roman"/>
        </w:rPr>
        <w:t>%23,2</w:t>
      </w:r>
      <w:r w:rsidRPr="00F1703C">
        <w:rPr>
          <w:rFonts w:ascii="Times New Roman" w:hAnsi="Times New Roman" w:cs="Times New Roman"/>
        </w:rPr>
        <w:t>’l</w:t>
      </w:r>
      <w:r>
        <w:rPr>
          <w:rFonts w:ascii="Times New Roman" w:hAnsi="Times New Roman" w:cs="Times New Roman"/>
        </w:rPr>
        <w:t>i</w:t>
      </w:r>
      <w:r w:rsidRPr="00F1703C">
        <w:rPr>
          <w:rFonts w:ascii="Times New Roman" w:hAnsi="Times New Roman" w:cs="Times New Roman"/>
        </w:rPr>
        <w:t>k bir</w:t>
      </w:r>
      <w:r>
        <w:rPr>
          <w:rFonts w:ascii="Times New Roman" w:hAnsi="Times New Roman" w:cs="Times New Roman"/>
        </w:rPr>
        <w:t xml:space="preserve"> düşüşle 11,8 milyar ABD doları seviyesine gerilemiştir. </w:t>
      </w:r>
      <w:r w:rsidRPr="000A5232">
        <w:rPr>
          <w:rFonts w:ascii="Times New Roman" w:hAnsi="Times New Roman" w:cs="Times New Roman"/>
        </w:rPr>
        <w:t xml:space="preserve">Böylelikle toplam kredi borcu yaklaşık </w:t>
      </w:r>
      <w:r>
        <w:rPr>
          <w:rFonts w:ascii="Times New Roman" w:hAnsi="Times New Roman" w:cs="Times New Roman"/>
        </w:rPr>
        <w:t>6,8</w:t>
      </w:r>
      <w:r w:rsidRPr="000A5232">
        <w:rPr>
          <w:rFonts w:ascii="Times New Roman" w:hAnsi="Times New Roman" w:cs="Times New Roman"/>
        </w:rPr>
        <w:t xml:space="preserve"> mily</w:t>
      </w:r>
      <w:r>
        <w:rPr>
          <w:rFonts w:ascii="Times New Roman" w:hAnsi="Times New Roman" w:cs="Times New Roman"/>
        </w:rPr>
        <w:t>ar ABD doları azalarak 218,7</w:t>
      </w:r>
      <w:r w:rsidRPr="000A5232">
        <w:rPr>
          <w:rFonts w:ascii="Times New Roman" w:hAnsi="Times New Roman" w:cs="Times New Roman"/>
        </w:rPr>
        <w:t xml:space="preserve"> milyar ABD doları seviyesinde gerçekleşmiştir</w:t>
      </w:r>
      <w:r w:rsidRPr="00F90EAF">
        <w:rPr>
          <w:rFonts w:ascii="Times New Roman" w:hAnsi="Times New Roman" w:cs="Times New Roman"/>
        </w:rPr>
        <w:t xml:space="preserve"> (Şekil 1). </w:t>
      </w:r>
    </w:p>
    <w:p w:rsidR="00244AD5" w:rsidRPr="008E3B58" w:rsidRDefault="00244AD5" w:rsidP="00244AD5">
      <w:pPr>
        <w:spacing w:after="0" w:line="240" w:lineRule="auto"/>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Pr>
          <w:rFonts w:ascii="Times New Roman" w:hAnsi="Times New Roman" w:cs="Times New Roman"/>
          <w:b/>
          <w:noProof/>
        </w:rPr>
        <w:t>1</w:t>
      </w:r>
      <w:r w:rsidRPr="008E3B58">
        <w:rPr>
          <w:rFonts w:ascii="Times New Roman" w:hAnsi="Times New Roman" w:cs="Times New Roman"/>
          <w:b/>
        </w:rPr>
        <w:fldChar w:fldCharType="end"/>
      </w:r>
      <w:r w:rsidRPr="008E3B58">
        <w:rPr>
          <w:rFonts w:ascii="Times New Roman" w:hAnsi="Times New Roman" w:cs="Times New Roman"/>
          <w:b/>
        </w:rPr>
        <w:t>: Özel Sektörün Yurt Dışından Sağladığı Kredi Borcu (2004 –</w:t>
      </w:r>
      <w:r>
        <w:rPr>
          <w:rFonts w:ascii="Times New Roman" w:hAnsi="Times New Roman" w:cs="Times New Roman"/>
          <w:b/>
        </w:rPr>
        <w:t>Nisan 2019</w:t>
      </w:r>
      <w:r w:rsidRPr="008E3B58">
        <w:rPr>
          <w:rFonts w:ascii="Times New Roman" w:hAnsi="Times New Roman" w:cs="Times New Roman"/>
          <w:b/>
        </w:rPr>
        <w:t>)</w:t>
      </w:r>
    </w:p>
    <w:p w:rsidR="00244AD5" w:rsidRDefault="00244AD5" w:rsidP="00244AD5">
      <w:pPr>
        <w:spacing w:after="0" w:line="192" w:lineRule="auto"/>
        <w:jc w:val="both"/>
        <w:rPr>
          <w:noProof/>
        </w:rPr>
      </w:pPr>
      <w:r w:rsidRPr="000B0C7B">
        <w:rPr>
          <w:rFonts w:ascii="Times New Roman" w:hAnsi="Times New Roman" w:cs="Times New Roman"/>
          <w:sz w:val="18"/>
          <w:szCs w:val="18"/>
        </w:rPr>
        <w:t xml:space="preserve"> </w:t>
      </w:r>
      <w:r w:rsidRPr="009E06CB">
        <w:rPr>
          <w:noProof/>
        </w:rPr>
        <w:drawing>
          <wp:inline distT="0" distB="0" distL="0" distR="0" wp14:anchorId="40C42644" wp14:editId="3FFCC643">
            <wp:extent cx="5972810" cy="3898238"/>
            <wp:effectExtent l="0" t="0" r="0" b="762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2810" cy="3898238"/>
                    </a:xfrm>
                    <a:prstGeom prst="rect">
                      <a:avLst/>
                    </a:prstGeom>
                    <a:noFill/>
                    <a:ln>
                      <a:noFill/>
                    </a:ln>
                  </pic:spPr>
                </pic:pic>
              </a:graphicData>
            </a:graphic>
          </wp:inline>
        </w:drawing>
      </w:r>
    </w:p>
    <w:p w:rsidR="00DB6CBC" w:rsidRDefault="00DB6CBC"/>
    <w:p w:rsidR="00DB6CBC" w:rsidRDefault="00DB6CBC">
      <w:pPr>
        <w:spacing w:after="160" w:line="259" w:lineRule="auto"/>
      </w:pPr>
      <w:r>
        <w:br w:type="page"/>
      </w:r>
    </w:p>
    <w:p w:rsidR="00244AD5" w:rsidRPr="00964972" w:rsidRDefault="00244AD5" w:rsidP="00244AD5">
      <w:pPr>
        <w:jc w:val="both"/>
        <w:rPr>
          <w:rFonts w:ascii="Times New Roman" w:hAnsi="Times New Roman" w:cs="Times New Roman"/>
        </w:rPr>
      </w:pPr>
      <w:r w:rsidRPr="00964972">
        <w:rPr>
          <w:rFonts w:ascii="Times New Roman" w:hAnsi="Times New Roman" w:cs="Times New Roman"/>
          <w:b/>
        </w:rPr>
        <w:lastRenderedPageBreak/>
        <w:t>Özel sektörün yurt dışından sağladığı uzun vadeli kredi borcunun borçluya göre dağılımı incelendiğinde, finansal kesimin kredi borcunun (%</w:t>
      </w:r>
      <w:r>
        <w:rPr>
          <w:rFonts w:ascii="Times New Roman" w:hAnsi="Times New Roman" w:cs="Times New Roman"/>
          <w:b/>
        </w:rPr>
        <w:t>48,4</w:t>
      </w:r>
      <w:r w:rsidRPr="00964972">
        <w:rPr>
          <w:rFonts w:ascii="Times New Roman" w:hAnsi="Times New Roman" w:cs="Times New Roman"/>
          <w:b/>
        </w:rPr>
        <w:t>), finansal olmay</w:t>
      </w:r>
      <w:r>
        <w:rPr>
          <w:rFonts w:ascii="Times New Roman" w:hAnsi="Times New Roman" w:cs="Times New Roman"/>
          <w:b/>
        </w:rPr>
        <w:t>an kesimin kredi borcundan (%51,6</w:t>
      </w:r>
      <w:r w:rsidRPr="00964972">
        <w:rPr>
          <w:rFonts w:ascii="Times New Roman" w:hAnsi="Times New Roman" w:cs="Times New Roman"/>
          <w:b/>
        </w:rPr>
        <w:t xml:space="preserve">) daha </w:t>
      </w:r>
      <w:r>
        <w:rPr>
          <w:rFonts w:ascii="Times New Roman" w:hAnsi="Times New Roman" w:cs="Times New Roman"/>
          <w:b/>
        </w:rPr>
        <w:t>az</w:t>
      </w:r>
      <w:r w:rsidRPr="00964972">
        <w:rPr>
          <w:rFonts w:ascii="Times New Roman" w:hAnsi="Times New Roman" w:cs="Times New Roman"/>
          <w:b/>
        </w:rPr>
        <w:t xml:space="preserve"> olduğu görülmektedir.</w:t>
      </w:r>
      <w:r w:rsidRPr="00964972">
        <w:rPr>
          <w:rFonts w:ascii="Times New Roman" w:hAnsi="Times New Roman" w:cs="Times New Roman"/>
        </w:rPr>
        <w:t xml:space="preserve"> Bununla birlikte </w:t>
      </w:r>
      <w:r>
        <w:rPr>
          <w:rFonts w:ascii="Times New Roman" w:hAnsi="Times New Roman" w:cs="Times New Roman"/>
        </w:rPr>
        <w:t xml:space="preserve">2014 yılından 2017 yılsonuna </w:t>
      </w:r>
      <w:r w:rsidRPr="00964972">
        <w:rPr>
          <w:rFonts w:ascii="Times New Roman" w:hAnsi="Times New Roman" w:cs="Times New Roman"/>
        </w:rPr>
        <w:t>kadar uzun vadeli krediler içinde finansal kesimin payının, finansal olmayan kesimin payınd</w:t>
      </w:r>
      <w:r>
        <w:rPr>
          <w:rFonts w:ascii="Times New Roman" w:hAnsi="Times New Roman" w:cs="Times New Roman"/>
        </w:rPr>
        <w:t>an daha yüksek</w:t>
      </w:r>
      <w:r w:rsidRPr="00964972">
        <w:rPr>
          <w:rFonts w:ascii="Times New Roman" w:hAnsi="Times New Roman" w:cs="Times New Roman"/>
        </w:rPr>
        <w:t xml:space="preserve"> bir seviyede olduğu görülmekteydi. Büyük çoğunluğunu bankaların oluşturduğu finansal kesimin uzun vadeli kredi borcu, 201</w:t>
      </w:r>
      <w:r>
        <w:rPr>
          <w:rFonts w:ascii="Times New Roman" w:hAnsi="Times New Roman" w:cs="Times New Roman"/>
        </w:rPr>
        <w:t>8</w:t>
      </w:r>
      <w:r w:rsidRPr="00964972">
        <w:rPr>
          <w:rFonts w:ascii="Times New Roman" w:hAnsi="Times New Roman" w:cs="Times New Roman"/>
        </w:rPr>
        <w:t xml:space="preserve"> yılsonuna göre </w:t>
      </w:r>
      <w:r>
        <w:rPr>
          <w:rFonts w:ascii="Times New Roman" w:hAnsi="Times New Roman" w:cs="Times New Roman"/>
        </w:rPr>
        <w:t xml:space="preserve">2,6 milyar </w:t>
      </w:r>
      <w:r w:rsidRPr="00964972">
        <w:rPr>
          <w:rFonts w:ascii="Times New Roman" w:hAnsi="Times New Roman" w:cs="Times New Roman"/>
        </w:rPr>
        <w:t>ABD doları a</w:t>
      </w:r>
      <w:r>
        <w:rPr>
          <w:rFonts w:ascii="Times New Roman" w:hAnsi="Times New Roman" w:cs="Times New Roman"/>
        </w:rPr>
        <w:t>zal</w:t>
      </w:r>
      <w:r w:rsidRPr="00964972">
        <w:rPr>
          <w:rFonts w:ascii="Times New Roman" w:hAnsi="Times New Roman" w:cs="Times New Roman"/>
        </w:rPr>
        <w:t xml:space="preserve">arak </w:t>
      </w:r>
      <w:r>
        <w:rPr>
          <w:rFonts w:ascii="Times New Roman" w:hAnsi="Times New Roman" w:cs="Times New Roman"/>
        </w:rPr>
        <w:t>100,1</w:t>
      </w:r>
      <w:r w:rsidRPr="00964972">
        <w:rPr>
          <w:rFonts w:ascii="Times New Roman" w:hAnsi="Times New Roman" w:cs="Times New Roman"/>
        </w:rPr>
        <w:t xml:space="preserve"> milyar ABD </w:t>
      </w:r>
      <w:r>
        <w:rPr>
          <w:rFonts w:ascii="Times New Roman" w:hAnsi="Times New Roman" w:cs="Times New Roman"/>
        </w:rPr>
        <w:t>doları seviyesin</w:t>
      </w:r>
      <w:r w:rsidRPr="00964972">
        <w:rPr>
          <w:rFonts w:ascii="Times New Roman" w:hAnsi="Times New Roman" w:cs="Times New Roman"/>
        </w:rPr>
        <w:t xml:space="preserve">e </w:t>
      </w:r>
      <w:r>
        <w:rPr>
          <w:rFonts w:ascii="Times New Roman" w:hAnsi="Times New Roman" w:cs="Times New Roman"/>
        </w:rPr>
        <w:t>gerilemiştir</w:t>
      </w:r>
      <w:r w:rsidRPr="00964972">
        <w:rPr>
          <w:rFonts w:ascii="Times New Roman" w:hAnsi="Times New Roman" w:cs="Times New Roman"/>
        </w:rPr>
        <w:t xml:space="preserve">. Finansal olmayan kuruluşların borcu ise </w:t>
      </w:r>
      <w:r>
        <w:rPr>
          <w:rFonts w:ascii="Times New Roman" w:hAnsi="Times New Roman" w:cs="Times New Roman"/>
        </w:rPr>
        <w:t>2018</w:t>
      </w:r>
      <w:r w:rsidRPr="00964972">
        <w:rPr>
          <w:rFonts w:ascii="Times New Roman" w:hAnsi="Times New Roman" w:cs="Times New Roman"/>
        </w:rPr>
        <w:t xml:space="preserve"> yılsonuna göre </w:t>
      </w:r>
      <w:r>
        <w:rPr>
          <w:rFonts w:ascii="Times New Roman" w:hAnsi="Times New Roman" w:cs="Times New Roman"/>
        </w:rPr>
        <w:t>644 milyon</w:t>
      </w:r>
      <w:r w:rsidRPr="00964972">
        <w:rPr>
          <w:rFonts w:ascii="Times New Roman" w:hAnsi="Times New Roman" w:cs="Times New Roman"/>
        </w:rPr>
        <w:t xml:space="preserve"> ABD doları a</w:t>
      </w:r>
      <w:r>
        <w:rPr>
          <w:rFonts w:ascii="Times New Roman" w:hAnsi="Times New Roman" w:cs="Times New Roman"/>
        </w:rPr>
        <w:t>zal</w:t>
      </w:r>
      <w:r w:rsidRPr="00964972">
        <w:rPr>
          <w:rFonts w:ascii="Times New Roman" w:hAnsi="Times New Roman" w:cs="Times New Roman"/>
        </w:rPr>
        <w:t xml:space="preserve">mış ve </w:t>
      </w:r>
      <w:r>
        <w:rPr>
          <w:rFonts w:ascii="Times New Roman" w:hAnsi="Times New Roman" w:cs="Times New Roman"/>
        </w:rPr>
        <w:t>106,8</w:t>
      </w:r>
      <w:r w:rsidRPr="00964972">
        <w:rPr>
          <w:rFonts w:ascii="Times New Roman" w:hAnsi="Times New Roman" w:cs="Times New Roman"/>
        </w:rPr>
        <w:t xml:space="preserve"> milyar ABD doları olmuştur (Tablo 1). </w:t>
      </w:r>
    </w:p>
    <w:p w:rsidR="00244AD5" w:rsidRPr="00F90EAF" w:rsidRDefault="00244AD5" w:rsidP="00244AD5">
      <w:pPr>
        <w:jc w:val="both"/>
        <w:rPr>
          <w:rFonts w:ascii="Times New Roman" w:hAnsi="Times New Roman" w:cs="Times New Roman"/>
        </w:rPr>
      </w:pPr>
      <w:r w:rsidRPr="00964972">
        <w:rPr>
          <w:rFonts w:ascii="Times New Roman" w:hAnsi="Times New Roman" w:cs="Times New Roman"/>
          <w:b/>
        </w:rPr>
        <w:t>Alacaklıya göre dağılım verileri, tahvil alacaklıları hariç toplam kredi borcunun büyük ölçüde özel alacaklılara olan borçlardan oluştuğunu göstermektedir (%</w:t>
      </w:r>
      <w:r>
        <w:rPr>
          <w:rFonts w:ascii="Times New Roman" w:hAnsi="Times New Roman" w:cs="Times New Roman"/>
          <w:b/>
        </w:rPr>
        <w:t>85,4</w:t>
      </w:r>
      <w:r w:rsidRPr="00964972">
        <w:rPr>
          <w:rFonts w:ascii="Times New Roman" w:hAnsi="Times New Roman" w:cs="Times New Roman"/>
          <w:b/>
        </w:rPr>
        <w:t xml:space="preserve">). </w:t>
      </w:r>
      <w:r w:rsidRPr="00964972">
        <w:rPr>
          <w:rFonts w:ascii="Times New Roman" w:hAnsi="Times New Roman" w:cs="Times New Roman"/>
        </w:rPr>
        <w:t>Özel alacaklıla</w:t>
      </w:r>
      <w:r>
        <w:rPr>
          <w:rFonts w:ascii="Times New Roman" w:hAnsi="Times New Roman" w:cs="Times New Roman"/>
        </w:rPr>
        <w:t>rın uzun vadeli kredi borcu 2019</w:t>
      </w:r>
      <w:r w:rsidRPr="00964972">
        <w:rPr>
          <w:rFonts w:ascii="Times New Roman" w:hAnsi="Times New Roman" w:cs="Times New Roman"/>
        </w:rPr>
        <w:t xml:space="preserve"> yılı </w:t>
      </w:r>
      <w:r>
        <w:rPr>
          <w:rFonts w:ascii="Times New Roman" w:hAnsi="Times New Roman" w:cs="Times New Roman"/>
        </w:rPr>
        <w:t>Nisan ayı itibariyle, 2018</w:t>
      </w:r>
      <w:r w:rsidRPr="00964972">
        <w:rPr>
          <w:rFonts w:ascii="Times New Roman" w:hAnsi="Times New Roman" w:cs="Times New Roman"/>
        </w:rPr>
        <w:t xml:space="preserve"> yılsonuna göre </w:t>
      </w:r>
      <w:r>
        <w:rPr>
          <w:rFonts w:ascii="Times New Roman" w:hAnsi="Times New Roman" w:cs="Times New Roman"/>
        </w:rPr>
        <w:t>5,7</w:t>
      </w:r>
      <w:r w:rsidRPr="00964972">
        <w:rPr>
          <w:rFonts w:ascii="Times New Roman" w:hAnsi="Times New Roman" w:cs="Times New Roman"/>
        </w:rPr>
        <w:t xml:space="preserve"> mily</w:t>
      </w:r>
      <w:r>
        <w:rPr>
          <w:rFonts w:ascii="Times New Roman" w:hAnsi="Times New Roman" w:cs="Times New Roman"/>
        </w:rPr>
        <w:t>ar</w:t>
      </w:r>
      <w:r w:rsidRPr="00964972">
        <w:rPr>
          <w:rFonts w:ascii="Times New Roman" w:hAnsi="Times New Roman" w:cs="Times New Roman"/>
        </w:rPr>
        <w:t xml:space="preserve"> ABD doları a</w:t>
      </w:r>
      <w:r>
        <w:rPr>
          <w:rFonts w:ascii="Times New Roman" w:hAnsi="Times New Roman" w:cs="Times New Roman"/>
        </w:rPr>
        <w:t>zalarak</w:t>
      </w:r>
      <w:r w:rsidRPr="00964972">
        <w:rPr>
          <w:rFonts w:ascii="Times New Roman" w:hAnsi="Times New Roman" w:cs="Times New Roman"/>
        </w:rPr>
        <w:t xml:space="preserve"> 1</w:t>
      </w:r>
      <w:r>
        <w:rPr>
          <w:rFonts w:ascii="Times New Roman" w:hAnsi="Times New Roman" w:cs="Times New Roman"/>
        </w:rPr>
        <w:t>40,5 milyar ABD doları seviyesine gerilemiş</w:t>
      </w:r>
      <w:r w:rsidRPr="00964972">
        <w:rPr>
          <w:rFonts w:ascii="Times New Roman" w:hAnsi="Times New Roman" w:cs="Times New Roman"/>
        </w:rPr>
        <w:t xml:space="preserve"> ve böylelikle toplam uzun vadeli kredilerdeki payı </w:t>
      </w:r>
      <w:r>
        <w:rPr>
          <w:rFonts w:ascii="Times New Roman" w:hAnsi="Times New Roman" w:cs="Times New Roman"/>
        </w:rPr>
        <w:t>%67,9</w:t>
      </w:r>
      <w:r w:rsidRPr="00964972">
        <w:rPr>
          <w:rFonts w:ascii="Times New Roman" w:hAnsi="Times New Roman" w:cs="Times New Roman"/>
        </w:rPr>
        <w:t xml:space="preserve"> olmuştur. Tahvil hariç toplam kredi borcunun </w:t>
      </w:r>
      <w:r>
        <w:rPr>
          <w:rFonts w:ascii="Times New Roman" w:hAnsi="Times New Roman" w:cs="Times New Roman"/>
        </w:rPr>
        <w:t>%14,6</w:t>
      </w:r>
      <w:r w:rsidRPr="00964972">
        <w:rPr>
          <w:rFonts w:ascii="Times New Roman" w:hAnsi="Times New Roman" w:cs="Times New Roman"/>
        </w:rPr>
        <w:t>’</w:t>
      </w:r>
      <w:r>
        <w:rPr>
          <w:rFonts w:ascii="Times New Roman" w:hAnsi="Times New Roman" w:cs="Times New Roman"/>
        </w:rPr>
        <w:t>sını</w:t>
      </w:r>
      <w:r w:rsidRPr="00964972">
        <w:rPr>
          <w:rFonts w:ascii="Times New Roman" w:hAnsi="Times New Roman" w:cs="Times New Roman"/>
        </w:rPr>
        <w:t xml:space="preserve"> oluşturan resmi alacaklar ise </w:t>
      </w:r>
      <w:r>
        <w:rPr>
          <w:rFonts w:ascii="Times New Roman" w:hAnsi="Times New Roman" w:cs="Times New Roman"/>
        </w:rPr>
        <w:t>24</w:t>
      </w:r>
      <w:r w:rsidRPr="00964972">
        <w:rPr>
          <w:rFonts w:ascii="Times New Roman" w:hAnsi="Times New Roman" w:cs="Times New Roman"/>
        </w:rPr>
        <w:t xml:space="preserve"> milyar ABD doları seviyesinde gerçekleşmiştir (Tablo 1).</w:t>
      </w:r>
    </w:p>
    <w:p w:rsidR="00244AD5" w:rsidRDefault="00244AD5" w:rsidP="00244AD5">
      <w:pPr>
        <w:jc w:val="both"/>
        <w:rPr>
          <w:rFonts w:ascii="Times New Roman" w:hAnsi="Times New Roman" w:cs="Times New Roman"/>
          <w:b/>
          <w:color w:val="000000" w:themeColor="text1"/>
        </w:rPr>
      </w:pPr>
      <w:r w:rsidRPr="008E3B58">
        <w:rPr>
          <w:rFonts w:ascii="Times New Roman" w:hAnsi="Times New Roman" w:cs="Times New Roman"/>
          <w:b/>
          <w:color w:val="000000" w:themeColor="text1"/>
        </w:rPr>
        <w:t>Tablo 1: Özel Sektörün Yurt Dışından Sağladığı Uzun Vadeli Kredi Borcu (borçlu ve alacaklıya göre dağılım)</w:t>
      </w:r>
    </w:p>
    <w:p w:rsidR="00244AD5" w:rsidRDefault="00244AD5" w:rsidP="00244AD5">
      <w:pPr>
        <w:jc w:val="both"/>
        <w:rPr>
          <w:noProof/>
        </w:rPr>
      </w:pPr>
      <w:r w:rsidRPr="004B508D">
        <w:rPr>
          <w:noProof/>
        </w:rPr>
        <w:drawing>
          <wp:inline distT="0" distB="0" distL="0" distR="0" wp14:anchorId="4FE7D801" wp14:editId="0C566E77">
            <wp:extent cx="5971974" cy="29337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5414" cy="2935390"/>
                    </a:xfrm>
                    <a:prstGeom prst="rect">
                      <a:avLst/>
                    </a:prstGeom>
                    <a:noFill/>
                    <a:ln>
                      <a:noFill/>
                    </a:ln>
                  </pic:spPr>
                </pic:pic>
              </a:graphicData>
            </a:graphic>
          </wp:inline>
        </w:drawing>
      </w:r>
    </w:p>
    <w:p w:rsidR="00244AD5" w:rsidRDefault="00244AD5" w:rsidP="00244AD5">
      <w:pPr>
        <w:jc w:val="both"/>
        <w:rPr>
          <w:rFonts w:ascii="Times New Roman" w:hAnsi="Times New Roman" w:cs="Times New Roman"/>
          <w:sz w:val="18"/>
          <w:szCs w:val="18"/>
        </w:rPr>
      </w:pPr>
      <w:r w:rsidRPr="00964972">
        <w:rPr>
          <w:rFonts w:ascii="Times New Roman" w:hAnsi="Times New Roman" w:cs="Times New Roman"/>
          <w:sz w:val="18"/>
          <w:szCs w:val="18"/>
        </w:rPr>
        <w:t>Kaynak: TCMB</w:t>
      </w:r>
      <w:r>
        <w:rPr>
          <w:rFonts w:ascii="Times New Roman" w:hAnsi="Times New Roman" w:cs="Times New Roman"/>
          <w:sz w:val="18"/>
          <w:szCs w:val="18"/>
        </w:rPr>
        <w:t>, TEPAV</w:t>
      </w:r>
    </w:p>
    <w:p w:rsidR="00E0201E" w:rsidRDefault="00E0201E" w:rsidP="00E0201E">
      <w:pPr>
        <w:jc w:val="both"/>
        <w:rPr>
          <w:rFonts w:ascii="Times New Roman" w:hAnsi="Times New Roman" w:cs="Times New Roman"/>
        </w:rPr>
      </w:pPr>
      <w:r>
        <w:rPr>
          <w:rFonts w:ascii="Times New Roman" w:hAnsi="Times New Roman" w:cs="Times New Roman"/>
        </w:rPr>
        <w:t xml:space="preserve">2019 yılı Nisan ayı </w:t>
      </w:r>
      <w:r w:rsidRPr="000B7AD4">
        <w:rPr>
          <w:rFonts w:ascii="Times New Roman" w:hAnsi="Times New Roman" w:cs="Times New Roman"/>
        </w:rPr>
        <w:t>itibarıyla özel sektörün uzun vadeli fina</w:t>
      </w:r>
      <w:r>
        <w:rPr>
          <w:rFonts w:ascii="Times New Roman" w:hAnsi="Times New Roman" w:cs="Times New Roman"/>
        </w:rPr>
        <w:t>nsal olmayan kredi borcunun %63,4’ü hizmetler, %36,1’i sanayi ve %0,5’i de</w:t>
      </w:r>
      <w:r w:rsidRPr="000B7AD4">
        <w:rPr>
          <w:rFonts w:ascii="Times New Roman" w:hAnsi="Times New Roman" w:cs="Times New Roman"/>
        </w:rPr>
        <w:t xml:space="preserve"> tarım sektörü tarafından kullanılmıştır. </w:t>
      </w:r>
      <w:r>
        <w:rPr>
          <w:rFonts w:ascii="Times New Roman" w:hAnsi="Times New Roman" w:cs="Times New Roman"/>
        </w:rPr>
        <w:t>2000’li yılların başlarından 2007 yılına kadar kredi borcunda sanayi sektörü öne çıkarken, 2007 yılından itibaren hizmetler sektörünün uzun vadeli borçlanmadaki payı artmaya başlamıştır (Şekil 3a).</w:t>
      </w:r>
    </w:p>
    <w:p w:rsidR="00E0201E" w:rsidRDefault="00E0201E" w:rsidP="00E0201E">
      <w:pPr>
        <w:jc w:val="both"/>
        <w:rPr>
          <w:rFonts w:ascii="Times New Roman" w:hAnsi="Times New Roman" w:cs="Times New Roman"/>
        </w:rPr>
      </w:pPr>
      <w:r w:rsidRPr="000B7AD4">
        <w:rPr>
          <w:rFonts w:ascii="Times New Roman" w:hAnsi="Times New Roman" w:cs="Times New Roman"/>
        </w:rPr>
        <w:t>Kısa vadeli finansal olmayan kredi borcunun</w:t>
      </w:r>
      <w:r w:rsidRPr="00F90EAF">
        <w:rPr>
          <w:rFonts w:ascii="Times New Roman" w:hAnsi="Times New Roman" w:cs="Times New Roman"/>
        </w:rPr>
        <w:t xml:space="preserve"> </w:t>
      </w:r>
      <w:proofErr w:type="spellStart"/>
      <w:r w:rsidRPr="00F90EAF">
        <w:rPr>
          <w:rFonts w:ascii="Times New Roman" w:hAnsi="Times New Roman" w:cs="Times New Roman"/>
        </w:rPr>
        <w:t>sektörel</w:t>
      </w:r>
      <w:proofErr w:type="spellEnd"/>
      <w:r w:rsidRPr="00F90EAF">
        <w:rPr>
          <w:rFonts w:ascii="Times New Roman" w:hAnsi="Times New Roman" w:cs="Times New Roman"/>
        </w:rPr>
        <w:t xml:space="preserve"> dağılı</w:t>
      </w:r>
      <w:r>
        <w:rPr>
          <w:rFonts w:ascii="Times New Roman" w:hAnsi="Times New Roman" w:cs="Times New Roman"/>
        </w:rPr>
        <w:t xml:space="preserve">mına bakıldığında </w:t>
      </w:r>
      <w:r w:rsidRPr="00F90EAF">
        <w:rPr>
          <w:rFonts w:ascii="Times New Roman" w:hAnsi="Times New Roman" w:cs="Times New Roman"/>
        </w:rPr>
        <w:t>sanayi sektörü</w:t>
      </w:r>
      <w:r>
        <w:rPr>
          <w:rFonts w:ascii="Times New Roman" w:hAnsi="Times New Roman" w:cs="Times New Roman"/>
        </w:rPr>
        <w:t xml:space="preserve">nün payını 2018 yılsonuna göre payının değişmediği görülmektedir. </w:t>
      </w:r>
      <w:r w:rsidRPr="00F90EAF">
        <w:rPr>
          <w:rFonts w:ascii="Times New Roman" w:hAnsi="Times New Roman" w:cs="Times New Roman"/>
        </w:rPr>
        <w:t>Sanayi sektörü tarafından kullanılan kredilerin, kısa vadeli finansal olmayan krediler içindeki payı 201</w:t>
      </w:r>
      <w:r>
        <w:rPr>
          <w:rFonts w:ascii="Times New Roman" w:hAnsi="Times New Roman" w:cs="Times New Roman"/>
        </w:rPr>
        <w:t>9</w:t>
      </w:r>
      <w:r w:rsidRPr="00F90EAF">
        <w:rPr>
          <w:rFonts w:ascii="Times New Roman" w:hAnsi="Times New Roman" w:cs="Times New Roman"/>
        </w:rPr>
        <w:t xml:space="preserve"> </w:t>
      </w:r>
      <w:r>
        <w:rPr>
          <w:rFonts w:ascii="Times New Roman" w:hAnsi="Times New Roman" w:cs="Times New Roman"/>
        </w:rPr>
        <w:t xml:space="preserve">yılı Nisan ayı </w:t>
      </w:r>
      <w:r w:rsidRPr="00F90EAF">
        <w:rPr>
          <w:rFonts w:ascii="Times New Roman" w:hAnsi="Times New Roman" w:cs="Times New Roman"/>
        </w:rPr>
        <w:t>itibar</w:t>
      </w:r>
      <w:r>
        <w:rPr>
          <w:rFonts w:ascii="Times New Roman" w:hAnsi="Times New Roman" w:cs="Times New Roman"/>
        </w:rPr>
        <w:t>ıyla %69,3</w:t>
      </w:r>
      <w:r w:rsidRPr="00F90EAF">
        <w:rPr>
          <w:rFonts w:ascii="Times New Roman" w:hAnsi="Times New Roman" w:cs="Times New Roman"/>
        </w:rPr>
        <w:t xml:space="preserve"> olarak gerçekleşmiştir. Hizmetler ve tarım sektörle</w:t>
      </w:r>
      <w:r>
        <w:rPr>
          <w:rFonts w:ascii="Times New Roman" w:hAnsi="Times New Roman" w:cs="Times New Roman"/>
        </w:rPr>
        <w:t>rinin payları ise sırasıyla, %30 ve %0,7’dir (Şekil 3b)</w:t>
      </w:r>
      <w:r w:rsidRPr="00F90EAF">
        <w:rPr>
          <w:rFonts w:ascii="Times New Roman" w:hAnsi="Times New Roman" w:cs="Times New Roman"/>
        </w:rPr>
        <w:t>.</w:t>
      </w:r>
    </w:p>
    <w:p w:rsidR="00E0201E" w:rsidRDefault="00E0201E" w:rsidP="00E0201E">
      <w:pPr>
        <w:jc w:val="both"/>
        <w:rPr>
          <w:rFonts w:ascii="Times New Roman" w:hAnsi="Times New Roman" w:cs="Times New Roman"/>
          <w:b/>
        </w:rPr>
      </w:pPr>
      <w:r w:rsidRPr="008E3B58">
        <w:rPr>
          <w:rFonts w:ascii="Times New Roman" w:hAnsi="Times New Roman" w:cs="Times New Roman"/>
          <w:b/>
        </w:rPr>
        <w:lastRenderedPageBreak/>
        <w:t xml:space="preserve">Şekil </w:t>
      </w:r>
      <w:r w:rsidRPr="008E3B58">
        <w:rPr>
          <w:rFonts w:ascii="Times New Roman" w:hAnsi="Times New Roman" w:cs="Times New Roman"/>
          <w:b/>
          <w:bCs/>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bCs/>
        </w:rPr>
        <w:fldChar w:fldCharType="separate"/>
      </w:r>
      <w:r>
        <w:rPr>
          <w:rFonts w:ascii="Times New Roman" w:hAnsi="Times New Roman" w:cs="Times New Roman"/>
          <w:b/>
          <w:noProof/>
        </w:rPr>
        <w:t>3</w:t>
      </w:r>
      <w:r w:rsidRPr="008E3B58">
        <w:rPr>
          <w:rFonts w:ascii="Times New Roman" w:hAnsi="Times New Roman" w:cs="Times New Roman"/>
          <w:b/>
          <w:bCs/>
        </w:rPr>
        <w:fldChar w:fldCharType="end"/>
      </w:r>
      <w:r w:rsidRPr="008E3B58">
        <w:rPr>
          <w:rFonts w:ascii="Times New Roman" w:hAnsi="Times New Roman" w:cs="Times New Roman"/>
          <w:b/>
        </w:rPr>
        <w:t>a: Özel Sektörün Yurt Dışından Sağladığı Uzun Vadeli Kredi Borcun</w:t>
      </w:r>
      <w:r>
        <w:rPr>
          <w:rFonts w:ascii="Times New Roman" w:hAnsi="Times New Roman" w:cs="Times New Roman"/>
          <w:b/>
        </w:rPr>
        <w:t xml:space="preserve">un Sektör Dağılımı (2004- Nisan </w:t>
      </w:r>
      <w:r>
        <w:rPr>
          <w:rFonts w:ascii="Times New Roman" w:hAnsi="Times New Roman" w:cs="Times New Roman"/>
          <w:b/>
          <w:bCs/>
        </w:rPr>
        <w:t>2019;</w:t>
      </w:r>
      <w:r w:rsidRPr="008E3B58">
        <w:rPr>
          <w:rFonts w:ascii="Times New Roman" w:hAnsi="Times New Roman" w:cs="Times New Roman"/>
          <w:b/>
        </w:rPr>
        <w:t xml:space="preserve"> yüzde)</w:t>
      </w:r>
    </w:p>
    <w:p w:rsidR="00E0201E" w:rsidRPr="007D73CE" w:rsidRDefault="00E0201E" w:rsidP="00E0201E">
      <w:pPr>
        <w:jc w:val="both"/>
        <w:rPr>
          <w:rFonts w:ascii="Times New Roman" w:hAnsi="Times New Roman" w:cs="Times New Roman"/>
          <w:b/>
        </w:rPr>
      </w:pPr>
      <w:r w:rsidRPr="007F2254">
        <w:rPr>
          <w:noProof/>
        </w:rPr>
        <w:drawing>
          <wp:inline distT="0" distB="0" distL="0" distR="0" wp14:anchorId="186BF3D8" wp14:editId="00766D08">
            <wp:extent cx="5971540" cy="2096219"/>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90280" cy="2102797"/>
                    </a:xfrm>
                    <a:prstGeom prst="rect">
                      <a:avLst/>
                    </a:prstGeom>
                    <a:noFill/>
                    <a:ln>
                      <a:noFill/>
                    </a:ln>
                  </pic:spPr>
                </pic:pic>
              </a:graphicData>
            </a:graphic>
          </wp:inline>
        </w:drawing>
      </w:r>
    </w:p>
    <w:p w:rsidR="00E0201E" w:rsidRDefault="00E0201E" w:rsidP="00E0201E">
      <w:pPr>
        <w:pStyle w:val="ResimYazs"/>
        <w:keepNext/>
        <w:jc w:val="both"/>
        <w:rPr>
          <w:rFonts w:ascii="Times New Roman" w:hAnsi="Times New Roman" w:cs="Times New Roman"/>
          <w:bCs w:val="0"/>
          <w:color w:val="auto"/>
          <w:sz w:val="22"/>
          <w:szCs w:val="22"/>
        </w:rPr>
      </w:pPr>
      <w:r w:rsidRPr="008E3B58">
        <w:rPr>
          <w:rFonts w:ascii="Times New Roman" w:hAnsi="Times New Roman" w:cs="Times New Roman"/>
          <w:bCs w:val="0"/>
          <w:color w:val="auto"/>
          <w:sz w:val="22"/>
          <w:szCs w:val="22"/>
        </w:rPr>
        <w:t>Şekil 3b: Özel Sektörün Yurt Dışından Sağladığı Kısa Vadeli Kredi Borcunun Sektör Dağılımı (2004-</w:t>
      </w:r>
      <w:r>
        <w:rPr>
          <w:rFonts w:ascii="Times New Roman" w:hAnsi="Times New Roman" w:cs="Times New Roman"/>
          <w:bCs w:val="0"/>
          <w:color w:val="auto"/>
          <w:sz w:val="22"/>
          <w:szCs w:val="22"/>
        </w:rPr>
        <w:t xml:space="preserve"> Nisan 2019, </w:t>
      </w:r>
      <w:r w:rsidRPr="008E3B58">
        <w:rPr>
          <w:rFonts w:ascii="Times New Roman" w:hAnsi="Times New Roman" w:cs="Times New Roman"/>
          <w:bCs w:val="0"/>
          <w:color w:val="auto"/>
          <w:sz w:val="22"/>
          <w:szCs w:val="22"/>
        </w:rPr>
        <w:t>yüzde)</w:t>
      </w:r>
    </w:p>
    <w:p w:rsidR="00E0201E" w:rsidRDefault="00E0201E" w:rsidP="00E0201E">
      <w:pPr>
        <w:spacing w:after="0"/>
        <w:rPr>
          <w:noProof/>
        </w:rPr>
      </w:pPr>
      <w:r w:rsidRPr="007F2254">
        <w:rPr>
          <w:noProof/>
        </w:rPr>
        <w:drawing>
          <wp:inline distT="0" distB="0" distL="0" distR="0" wp14:anchorId="5A416AED" wp14:editId="1AAFE795">
            <wp:extent cx="5970905" cy="2173857"/>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9241" cy="2180533"/>
                    </a:xfrm>
                    <a:prstGeom prst="rect">
                      <a:avLst/>
                    </a:prstGeom>
                    <a:noFill/>
                    <a:ln>
                      <a:noFill/>
                    </a:ln>
                  </pic:spPr>
                </pic:pic>
              </a:graphicData>
            </a:graphic>
          </wp:inline>
        </w:drawing>
      </w:r>
    </w:p>
    <w:p w:rsidR="00E0201E" w:rsidRPr="00344948" w:rsidRDefault="00E0201E" w:rsidP="00E0201E">
      <w:pPr>
        <w:rPr>
          <w:noProof/>
        </w:rPr>
      </w:pPr>
      <w:r w:rsidRPr="00A22487">
        <w:rPr>
          <w:rFonts w:ascii="Times New Roman" w:hAnsi="Times New Roman" w:cs="Times New Roman"/>
          <w:sz w:val="18"/>
          <w:szCs w:val="18"/>
        </w:rPr>
        <w:t>Kaynak: TCMB</w:t>
      </w:r>
      <w:r>
        <w:rPr>
          <w:rFonts w:ascii="Times New Roman" w:hAnsi="Times New Roman" w:cs="Times New Roman"/>
          <w:sz w:val="18"/>
          <w:szCs w:val="18"/>
        </w:rPr>
        <w:t>, TEPAV</w:t>
      </w:r>
    </w:p>
    <w:p w:rsidR="00E0201E" w:rsidRPr="00341046" w:rsidRDefault="00E0201E" w:rsidP="00E0201E">
      <w:pPr>
        <w:jc w:val="both"/>
        <w:rPr>
          <w:rFonts w:ascii="Times New Roman" w:hAnsi="Times New Roman" w:cs="Times New Roman"/>
        </w:rPr>
      </w:pPr>
      <w:r w:rsidRPr="00F90EAF">
        <w:rPr>
          <w:rFonts w:ascii="Times New Roman" w:hAnsi="Times New Roman" w:cs="Times New Roman"/>
        </w:rPr>
        <w:t>Son olarak özel sektörün yurt dışından sağla</w:t>
      </w:r>
      <w:r>
        <w:rPr>
          <w:rFonts w:ascii="Times New Roman" w:hAnsi="Times New Roman" w:cs="Times New Roman"/>
        </w:rPr>
        <w:t>dığı kredi borcu 2019 yılı Nisan ayı</w:t>
      </w:r>
      <w:r w:rsidRPr="00F90EAF">
        <w:rPr>
          <w:rFonts w:ascii="Times New Roman" w:hAnsi="Times New Roman" w:cs="Times New Roman"/>
        </w:rPr>
        <w:t xml:space="preserve"> itibarıyla kalan vadeye göre incelendiğinde, 1 yıl içinde toplam </w:t>
      </w:r>
      <w:r>
        <w:rPr>
          <w:rFonts w:ascii="Times New Roman" w:hAnsi="Times New Roman" w:cs="Times New Roman"/>
        </w:rPr>
        <w:t xml:space="preserve">59,3 </w:t>
      </w:r>
      <w:r w:rsidRPr="00F90EAF">
        <w:rPr>
          <w:rFonts w:ascii="Times New Roman" w:hAnsi="Times New Roman" w:cs="Times New Roman"/>
        </w:rPr>
        <w:t>milyar ABD doları kadar anapara geri ödemesi ge</w:t>
      </w:r>
      <w:r>
        <w:rPr>
          <w:rFonts w:ascii="Times New Roman" w:hAnsi="Times New Roman" w:cs="Times New Roman"/>
        </w:rPr>
        <w:t>rçekleştirileceği görülmektedir.</w:t>
      </w:r>
    </w:p>
    <w:p w:rsidR="00E0201E" w:rsidRPr="008E3B58" w:rsidRDefault="00E0201E" w:rsidP="00E0201E">
      <w:pPr>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Pr>
          <w:rFonts w:ascii="Times New Roman" w:hAnsi="Times New Roman" w:cs="Times New Roman"/>
          <w:b/>
          <w:noProof/>
        </w:rPr>
        <w:t>4</w:t>
      </w:r>
      <w:r w:rsidRPr="008E3B58">
        <w:rPr>
          <w:rFonts w:ascii="Times New Roman" w:hAnsi="Times New Roman" w:cs="Times New Roman"/>
          <w:b/>
        </w:rPr>
        <w:fldChar w:fldCharType="end"/>
      </w:r>
      <w:r w:rsidRPr="008E3B58">
        <w:rPr>
          <w:rFonts w:ascii="Times New Roman" w:hAnsi="Times New Roman" w:cs="Times New Roman"/>
          <w:b/>
        </w:rPr>
        <w:t>: Özel Sektörün Yurt Dışından Sağladığı Kalan Vadesi 1 Yıla Kadar Olan Toplam Kredi Borcunun Aylara Göre Dağılımı (Ticari krediler hariç) (Milyar ABD Doları)</w:t>
      </w:r>
    </w:p>
    <w:p w:rsidR="00E0201E" w:rsidRPr="00F90EAF" w:rsidRDefault="00E0201E" w:rsidP="00E0201E">
      <w:pPr>
        <w:spacing w:after="0" w:line="240" w:lineRule="auto"/>
        <w:rPr>
          <w:rFonts w:ascii="Times New Roman" w:hAnsi="Times New Roman" w:cs="Times New Roman"/>
        </w:rPr>
      </w:pPr>
      <w:r w:rsidRPr="005C14BC">
        <w:rPr>
          <w:noProof/>
        </w:rPr>
        <w:lastRenderedPageBreak/>
        <w:drawing>
          <wp:inline distT="0" distB="0" distL="0" distR="0" wp14:anchorId="69540A21" wp14:editId="58158D5F">
            <wp:extent cx="5972175" cy="2122098"/>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89378" cy="2128211"/>
                    </a:xfrm>
                    <a:prstGeom prst="rect">
                      <a:avLst/>
                    </a:prstGeom>
                    <a:noFill/>
                    <a:ln>
                      <a:noFill/>
                    </a:ln>
                  </pic:spPr>
                </pic:pic>
              </a:graphicData>
            </a:graphic>
          </wp:inline>
        </w:drawing>
      </w:r>
    </w:p>
    <w:p w:rsidR="00E0201E" w:rsidRPr="00A22487" w:rsidRDefault="00E0201E" w:rsidP="00E0201E">
      <w:pPr>
        <w:spacing w:after="0" w:line="240" w:lineRule="auto"/>
        <w:rPr>
          <w:rFonts w:ascii="Times New Roman" w:hAnsi="Times New Roman" w:cs="Times New Roman"/>
          <w:sz w:val="18"/>
          <w:szCs w:val="18"/>
        </w:rPr>
      </w:pPr>
      <w:r w:rsidRPr="00A22487">
        <w:rPr>
          <w:rFonts w:ascii="Times New Roman" w:hAnsi="Times New Roman" w:cs="Times New Roman"/>
          <w:sz w:val="18"/>
          <w:szCs w:val="18"/>
        </w:rPr>
        <w:t>Kaynak: TCMB</w:t>
      </w:r>
      <w:r>
        <w:rPr>
          <w:rFonts w:ascii="Times New Roman" w:hAnsi="Times New Roman" w:cs="Times New Roman"/>
          <w:sz w:val="18"/>
          <w:szCs w:val="18"/>
        </w:rPr>
        <w:t>, TEPAV</w:t>
      </w:r>
    </w:p>
    <w:p w:rsidR="00E0201E" w:rsidRPr="00964972" w:rsidRDefault="00E0201E" w:rsidP="00244AD5">
      <w:pPr>
        <w:jc w:val="both"/>
        <w:rPr>
          <w:noProof/>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6"/>
      </w:tblGrid>
      <w:tr w:rsidR="00CE77FB" w:rsidTr="006F16F4">
        <w:trPr>
          <w:trHeight w:val="915"/>
        </w:trPr>
        <w:tc>
          <w:tcPr>
            <w:tcW w:w="8754" w:type="dxa"/>
            <w:vAlign w:val="center"/>
          </w:tcPr>
          <w:p w:rsidR="00CE77FB" w:rsidRPr="00CE77FB" w:rsidRDefault="00CE77FB" w:rsidP="00CE77FB">
            <w:pPr>
              <w:pStyle w:val="stbilgi"/>
              <w:rPr>
                <w:rFonts w:asciiTheme="majorHAnsi" w:eastAsiaTheme="majorEastAsia" w:hAnsiTheme="majorHAnsi" w:cstheme="majorBidi"/>
                <w:b/>
                <w:sz w:val="36"/>
                <w:szCs w:val="36"/>
              </w:rPr>
            </w:pPr>
            <w:r w:rsidRPr="00CE77FB">
              <w:rPr>
                <w:rFonts w:asciiTheme="majorHAnsi" w:eastAsiaTheme="majorEastAsia" w:hAnsiTheme="majorHAnsi" w:cstheme="majorBidi"/>
                <w:b/>
                <w:sz w:val="36"/>
                <w:szCs w:val="36"/>
              </w:rPr>
              <w:t xml:space="preserve">2019 Haziran </w:t>
            </w:r>
          </w:p>
          <w:p w:rsidR="00CE77FB" w:rsidRPr="00CE77FB" w:rsidRDefault="00CE77FB" w:rsidP="00CE77FB">
            <w:pPr>
              <w:pStyle w:val="stbilgi"/>
              <w:rPr>
                <w:rFonts w:asciiTheme="majorHAnsi" w:eastAsiaTheme="majorEastAsia" w:hAnsiTheme="majorHAnsi" w:cstheme="majorBidi"/>
                <w:sz w:val="36"/>
                <w:szCs w:val="36"/>
              </w:rPr>
            </w:pPr>
            <w:r w:rsidRPr="00CE77FB">
              <w:rPr>
                <w:rFonts w:asciiTheme="majorHAnsi" w:eastAsiaTheme="majorEastAsia" w:hAnsiTheme="majorHAnsi" w:cstheme="majorBidi"/>
                <w:b/>
                <w:sz w:val="36"/>
                <w:szCs w:val="36"/>
              </w:rPr>
              <w:t>REEL KESİM GÜVEN ENDEKSİ</w:t>
            </w:r>
          </w:p>
        </w:tc>
      </w:tr>
    </w:tbl>
    <w:p w:rsidR="00E0005F" w:rsidRDefault="00E0005F" w:rsidP="00423253">
      <w:pPr>
        <w:rPr>
          <w:szCs w:val="24"/>
        </w:rPr>
      </w:pPr>
    </w:p>
    <w:p w:rsidR="00CE77FB" w:rsidRPr="00C62484" w:rsidRDefault="00CE77FB" w:rsidP="00CE77FB">
      <w:pPr>
        <w:jc w:val="both"/>
        <w:rPr>
          <w:rFonts w:ascii="Times New Roman" w:hAnsi="Times New Roman" w:cs="Times New Roman"/>
          <w:b/>
          <w:sz w:val="24"/>
          <w:szCs w:val="24"/>
        </w:rPr>
      </w:pPr>
      <w:r w:rsidRPr="00C62484">
        <w:rPr>
          <w:rFonts w:ascii="Times New Roman" w:hAnsi="Times New Roman" w:cs="Times New Roman"/>
          <w:b/>
          <w:sz w:val="24"/>
          <w:szCs w:val="24"/>
        </w:rPr>
        <w:t xml:space="preserve">Haziran ayı Reel Kesim Güven Endeksi (RKGE) Türkiye Cumhuriyet Merkez Bankası (TCMB) tarafından 24 Haziran 2019 tarihinde yayımlandı. </w:t>
      </w:r>
    </w:p>
    <w:p w:rsidR="00CE77FB" w:rsidRDefault="00CE77FB" w:rsidP="00CE77FB">
      <w:pPr>
        <w:jc w:val="both"/>
        <w:rPr>
          <w:rFonts w:ascii="Times New Roman" w:hAnsi="Times New Roman" w:cs="Times New Roman"/>
          <w:sz w:val="24"/>
          <w:szCs w:val="24"/>
        </w:rPr>
      </w:pPr>
      <w:r w:rsidRPr="00C62484">
        <w:rPr>
          <w:rFonts w:ascii="Times New Roman" w:hAnsi="Times New Roman" w:cs="Times New Roman"/>
          <w:sz w:val="24"/>
          <w:szCs w:val="24"/>
        </w:rPr>
        <w:t>Haziran ayında Reel Kesim Güven Endeksi (Şekil 1) bir önceki aya göre yüzde 4 oranında artmıştır. Endeks bir önceki yılın aynı ayına göre ise yüzde 2 oranında azalmıştır. Mevsimlikten arındırılmış Reel Kesim Güven Endeksi (RKGE-MA) ise bir önceki aya göre yüzde 5,2 oranında artarken, bir önceki yılın aynı ayına göre de yüzde 2,8 oranında azalmıştır.</w:t>
      </w:r>
    </w:p>
    <w:p w:rsidR="00CE77FB" w:rsidRPr="00C62484" w:rsidRDefault="00CE77FB" w:rsidP="00CE77FB">
      <w:pPr>
        <w:pStyle w:val="ResimYazs"/>
        <w:keepNext/>
        <w:rPr>
          <w:rFonts w:ascii="Times New Roman" w:hAnsi="Times New Roman" w:cs="Times New Roman"/>
        </w:rPr>
      </w:pPr>
      <w:r w:rsidRPr="00C62484">
        <w:rPr>
          <w:rFonts w:ascii="Times New Roman" w:hAnsi="Times New Roman" w:cs="Times New Roman"/>
        </w:rPr>
        <w:t xml:space="preserve">Şekil </w:t>
      </w:r>
      <w:r w:rsidRPr="00C62484">
        <w:rPr>
          <w:rFonts w:ascii="Times New Roman" w:hAnsi="Times New Roman" w:cs="Times New Roman"/>
        </w:rPr>
        <w:fldChar w:fldCharType="begin"/>
      </w:r>
      <w:r w:rsidRPr="00C62484">
        <w:rPr>
          <w:rFonts w:ascii="Times New Roman" w:hAnsi="Times New Roman" w:cs="Times New Roman"/>
        </w:rPr>
        <w:instrText xml:space="preserve"> SEQ Şekil \* ARABIC </w:instrText>
      </w:r>
      <w:r w:rsidRPr="00C62484">
        <w:rPr>
          <w:rFonts w:ascii="Times New Roman" w:hAnsi="Times New Roman" w:cs="Times New Roman"/>
        </w:rPr>
        <w:fldChar w:fldCharType="separate"/>
      </w:r>
      <w:r w:rsidRPr="00C62484">
        <w:rPr>
          <w:rFonts w:ascii="Times New Roman" w:hAnsi="Times New Roman" w:cs="Times New Roman"/>
          <w:noProof/>
        </w:rPr>
        <w:t>1</w:t>
      </w:r>
      <w:r w:rsidRPr="00C62484">
        <w:rPr>
          <w:rFonts w:ascii="Times New Roman" w:hAnsi="Times New Roman" w:cs="Times New Roman"/>
          <w:noProof/>
        </w:rPr>
        <w:fldChar w:fldCharType="end"/>
      </w:r>
      <w:r w:rsidRPr="00C62484">
        <w:rPr>
          <w:rFonts w:ascii="Times New Roman" w:hAnsi="Times New Roman" w:cs="Times New Roman"/>
        </w:rPr>
        <w:t>: Reel Sektör Güven Endeksi (Haziran 2018- Haziran 2019)</w:t>
      </w:r>
    </w:p>
    <w:p w:rsidR="00CE77FB" w:rsidRPr="00CE77FB" w:rsidRDefault="00CE77FB" w:rsidP="00CE77FB">
      <w:pPr>
        <w:rPr>
          <w:rFonts w:ascii="Times New Roman" w:hAnsi="Times New Roman" w:cs="Times New Roman"/>
          <w:sz w:val="24"/>
          <w:szCs w:val="24"/>
        </w:rPr>
      </w:pPr>
      <w:r w:rsidRPr="00C62484">
        <w:rPr>
          <w:rFonts w:ascii="Times New Roman" w:hAnsi="Times New Roman" w:cs="Times New Roman"/>
          <w:noProof/>
          <w:sz w:val="24"/>
          <w:szCs w:val="24"/>
        </w:rPr>
        <w:drawing>
          <wp:inline distT="0" distB="0" distL="0" distR="0" wp14:anchorId="4572B9B7" wp14:editId="5D4B8A27">
            <wp:extent cx="6560071" cy="2097151"/>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81030" cy="2103851"/>
                    </a:xfrm>
                    <a:prstGeom prst="rect">
                      <a:avLst/>
                    </a:prstGeom>
                    <a:noFill/>
                  </pic:spPr>
                </pic:pic>
              </a:graphicData>
            </a:graphic>
          </wp:inline>
        </w:drawing>
      </w:r>
    </w:p>
    <w:p w:rsidR="00CE77FB" w:rsidRPr="00C62484" w:rsidRDefault="00CE77FB" w:rsidP="00CE77FB">
      <w:pPr>
        <w:jc w:val="both"/>
        <w:rPr>
          <w:rFonts w:ascii="Times New Roman" w:hAnsi="Times New Roman" w:cs="Times New Roman"/>
          <w:color w:val="000000" w:themeColor="text1"/>
          <w:sz w:val="24"/>
        </w:rPr>
      </w:pPr>
      <w:r w:rsidRPr="00C62484">
        <w:rPr>
          <w:rFonts w:ascii="Times New Roman" w:hAnsi="Times New Roman" w:cs="Times New Roman"/>
          <w:color w:val="000000" w:themeColor="text1"/>
          <w:sz w:val="24"/>
        </w:rPr>
        <w:t>Endeksi oluşturan yayılma endeksleri incelendiğinde, mamul mal stok miktarı (mevcut durum), üretim hacmi (gelecek 3 ay), toplam istihdam (gelecek 3 ay), ihracat sipariş miktarı (gelecek 3 ay) endeksleri</w:t>
      </w:r>
      <w:r>
        <w:rPr>
          <w:rFonts w:ascii="Times New Roman" w:hAnsi="Times New Roman" w:cs="Times New Roman"/>
          <w:color w:val="000000" w:themeColor="text1"/>
          <w:sz w:val="24"/>
        </w:rPr>
        <w:t>nin</w:t>
      </w:r>
      <w:r w:rsidRPr="00C62484">
        <w:rPr>
          <w:rFonts w:ascii="Times New Roman" w:hAnsi="Times New Roman" w:cs="Times New Roman"/>
          <w:color w:val="000000" w:themeColor="text1"/>
          <w:sz w:val="24"/>
        </w:rPr>
        <w:t xml:space="preserve"> bir ö</w:t>
      </w:r>
      <w:r>
        <w:rPr>
          <w:rFonts w:ascii="Times New Roman" w:hAnsi="Times New Roman" w:cs="Times New Roman"/>
          <w:color w:val="000000" w:themeColor="text1"/>
          <w:sz w:val="24"/>
        </w:rPr>
        <w:t>nceki aya göre düşüş gösterdiği görülmektedir. Buna karşın t</w:t>
      </w:r>
      <w:r w:rsidRPr="00C62484">
        <w:rPr>
          <w:rFonts w:ascii="Times New Roman" w:hAnsi="Times New Roman" w:cs="Times New Roman"/>
          <w:color w:val="000000" w:themeColor="text1"/>
          <w:sz w:val="24"/>
        </w:rPr>
        <w:t>oplam sipariş miktarı (mevcut durum), toplam sipariş miktarı (son 3 ay) ve sabit sermaye</w:t>
      </w:r>
      <w:r>
        <w:rPr>
          <w:rFonts w:ascii="Times New Roman" w:hAnsi="Times New Roman" w:cs="Times New Roman"/>
          <w:color w:val="000000" w:themeColor="text1"/>
          <w:sz w:val="24"/>
        </w:rPr>
        <w:t xml:space="preserve"> yatırım harcaması endeksleri artmıştır.</w:t>
      </w:r>
    </w:p>
    <w:p w:rsidR="00CE77FB" w:rsidRPr="00C62484" w:rsidRDefault="00CE77FB" w:rsidP="00CE77FB">
      <w:pPr>
        <w:pStyle w:val="ResimYazs"/>
        <w:keepNext/>
        <w:rPr>
          <w:rFonts w:ascii="Times New Roman" w:hAnsi="Times New Roman" w:cs="Times New Roman"/>
        </w:rPr>
      </w:pPr>
      <w:r w:rsidRPr="00C62484">
        <w:rPr>
          <w:rFonts w:ascii="Times New Roman" w:hAnsi="Times New Roman" w:cs="Times New Roman"/>
        </w:rPr>
        <w:lastRenderedPageBreak/>
        <w:t xml:space="preserve">Şekil </w:t>
      </w:r>
      <w:r w:rsidRPr="00C62484">
        <w:rPr>
          <w:rFonts w:ascii="Times New Roman" w:hAnsi="Times New Roman" w:cs="Times New Roman"/>
        </w:rPr>
        <w:fldChar w:fldCharType="begin"/>
      </w:r>
      <w:r w:rsidRPr="00C62484">
        <w:rPr>
          <w:rFonts w:ascii="Times New Roman" w:hAnsi="Times New Roman" w:cs="Times New Roman"/>
        </w:rPr>
        <w:instrText xml:space="preserve"> SEQ Şekil \* ARABIC </w:instrText>
      </w:r>
      <w:r w:rsidRPr="00C62484">
        <w:rPr>
          <w:rFonts w:ascii="Times New Roman" w:hAnsi="Times New Roman" w:cs="Times New Roman"/>
        </w:rPr>
        <w:fldChar w:fldCharType="separate"/>
      </w:r>
      <w:r w:rsidRPr="00C62484">
        <w:rPr>
          <w:rFonts w:ascii="Times New Roman" w:hAnsi="Times New Roman" w:cs="Times New Roman"/>
          <w:noProof/>
        </w:rPr>
        <w:t>2</w:t>
      </w:r>
      <w:r w:rsidRPr="00C62484">
        <w:rPr>
          <w:rFonts w:ascii="Times New Roman" w:hAnsi="Times New Roman" w:cs="Times New Roman"/>
          <w:noProof/>
        </w:rPr>
        <w:fldChar w:fldCharType="end"/>
      </w:r>
      <w:r w:rsidRPr="00C62484">
        <w:rPr>
          <w:rFonts w:ascii="Times New Roman" w:hAnsi="Times New Roman" w:cs="Times New Roman"/>
        </w:rPr>
        <w:t>: Üretim Hacmi, Toplam İstihdam ve İhracat Sipariş Miktarı (Haziran 2018 – Haziran 2019)</w:t>
      </w:r>
    </w:p>
    <w:p w:rsidR="00CE77FB" w:rsidRPr="00C62484" w:rsidRDefault="00CE77FB" w:rsidP="00CE77FB">
      <w:pPr>
        <w:pStyle w:val="Default"/>
        <w:rPr>
          <w:rFonts w:ascii="Times New Roman" w:hAnsi="Times New Roman" w:cs="Times New Roman"/>
          <w:b/>
          <w:bCs/>
        </w:rPr>
      </w:pPr>
      <w:r w:rsidRPr="00C62484">
        <w:rPr>
          <w:rFonts w:ascii="Times New Roman" w:hAnsi="Times New Roman" w:cs="Times New Roman"/>
          <w:b/>
          <w:bCs/>
          <w:noProof/>
          <w:lang w:eastAsia="tr-TR"/>
        </w:rPr>
        <w:drawing>
          <wp:inline distT="0" distB="0" distL="0" distR="0" wp14:anchorId="2B8C08F1" wp14:editId="363FBD26">
            <wp:extent cx="6440805" cy="1915064"/>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55409" cy="1919406"/>
                    </a:xfrm>
                    <a:prstGeom prst="rect">
                      <a:avLst/>
                    </a:prstGeom>
                    <a:noFill/>
                  </pic:spPr>
                </pic:pic>
              </a:graphicData>
            </a:graphic>
          </wp:inline>
        </w:drawing>
      </w:r>
    </w:p>
    <w:p w:rsidR="00CE77FB" w:rsidRPr="00CE77FB" w:rsidRDefault="00CE77FB" w:rsidP="00CE77FB">
      <w:pPr>
        <w:pStyle w:val="Default"/>
        <w:rPr>
          <w:rFonts w:ascii="Times New Roman" w:hAnsi="Times New Roman" w:cs="Times New Roman"/>
          <w:b/>
          <w:bCs/>
          <w:sz w:val="22"/>
          <w:szCs w:val="22"/>
        </w:rPr>
      </w:pPr>
    </w:p>
    <w:p w:rsidR="00F178C2" w:rsidRDefault="00F178C2" w:rsidP="00CE77FB">
      <w:pPr>
        <w:pStyle w:val="Default"/>
        <w:jc w:val="both"/>
        <w:rPr>
          <w:rFonts w:ascii="Times New Roman" w:hAnsi="Times New Roman" w:cs="Times New Roman"/>
        </w:rPr>
      </w:pPr>
    </w:p>
    <w:p w:rsidR="00CE77FB" w:rsidRPr="00CE77FB" w:rsidRDefault="00CE77FB" w:rsidP="00CE77FB">
      <w:pPr>
        <w:pStyle w:val="Default"/>
        <w:jc w:val="both"/>
        <w:rPr>
          <w:rFonts w:ascii="Times New Roman" w:hAnsi="Times New Roman" w:cs="Times New Roman"/>
        </w:rPr>
      </w:pPr>
      <w:r w:rsidRPr="00CE77FB">
        <w:rPr>
          <w:rFonts w:ascii="Times New Roman" w:hAnsi="Times New Roman" w:cs="Times New Roman"/>
        </w:rPr>
        <w:t xml:space="preserve">Haziran ayı mevcut toplam sipariş miktarı endeksi Mayıs ayına göre yüzde 3,4 oranında artarak 82,8 puan seviyesinde gerçekleşmiştir. Geçen yılın Haziran ayına göre ise endeks yüzde 10,2 oranında azalmıştır. Mevcut mamul stok miktarı Haziran ayında bir önceki aya göre yüzde 0,8 oranında azalmış; gelecek üç ay için üretim hacmi ise yüzde 3,5 oranında düşüş sergilemiştir. Toplam istihdam (Gelecek üç ay) yüzde 2,1 oranında düşüş sergilemiştir. </w:t>
      </w:r>
    </w:p>
    <w:p w:rsidR="00CE77FB" w:rsidRPr="00CE77FB" w:rsidRDefault="00CE77FB" w:rsidP="00CE77FB">
      <w:pPr>
        <w:pStyle w:val="Default"/>
        <w:jc w:val="both"/>
        <w:rPr>
          <w:rFonts w:ascii="Times New Roman" w:hAnsi="Times New Roman" w:cs="Times New Roman"/>
        </w:rPr>
      </w:pPr>
    </w:p>
    <w:p w:rsidR="00CE77FB" w:rsidRPr="00CE77FB" w:rsidRDefault="00CE77FB" w:rsidP="00CE77FB">
      <w:pPr>
        <w:pStyle w:val="Default"/>
        <w:jc w:val="both"/>
        <w:rPr>
          <w:rFonts w:ascii="Times New Roman" w:hAnsi="Times New Roman" w:cs="Times New Roman"/>
        </w:rPr>
      </w:pPr>
      <w:r w:rsidRPr="00CE77FB">
        <w:rPr>
          <w:rFonts w:ascii="Times New Roman" w:hAnsi="Times New Roman" w:cs="Times New Roman"/>
        </w:rPr>
        <w:t xml:space="preserve">Toplam sipariş miktarı (son üç ay) endeksi bir önceki aya göre yüzde 16,9 oranında artmış ve 114,1 puana yükselmiştir. </w:t>
      </w:r>
    </w:p>
    <w:p w:rsidR="00CE77FB" w:rsidRPr="00CE77FB" w:rsidRDefault="00CE77FB" w:rsidP="00CE77FB">
      <w:pPr>
        <w:pStyle w:val="Default"/>
        <w:jc w:val="both"/>
        <w:rPr>
          <w:rFonts w:ascii="Times New Roman" w:hAnsi="Times New Roman" w:cs="Times New Roman"/>
        </w:rPr>
      </w:pPr>
    </w:p>
    <w:p w:rsidR="00CE77FB" w:rsidRPr="00CE77FB" w:rsidRDefault="00CE77FB" w:rsidP="00CE77FB">
      <w:pPr>
        <w:pStyle w:val="Default"/>
        <w:jc w:val="both"/>
        <w:rPr>
          <w:rFonts w:ascii="Times New Roman" w:hAnsi="Times New Roman" w:cs="Times New Roman"/>
        </w:rPr>
      </w:pPr>
      <w:r w:rsidRPr="00CE77FB">
        <w:rPr>
          <w:rFonts w:ascii="Times New Roman" w:hAnsi="Times New Roman" w:cs="Times New Roman"/>
          <w:color w:val="000000" w:themeColor="text1"/>
        </w:rPr>
        <w:t xml:space="preserve">İhracat sipariş miktarı (gelecek üç ay) </w:t>
      </w:r>
      <w:r w:rsidRPr="00CE77FB">
        <w:rPr>
          <w:rFonts w:ascii="Times New Roman" w:hAnsi="Times New Roman" w:cs="Times New Roman"/>
        </w:rPr>
        <w:t xml:space="preserve">endeksi bir önceki aya göre yüzde 1,8 oranında düşüş göstermiştir. Aynı endeks 2018 yılı Haziran ayına göre ise yüzde 1 oranında artmıştır. </w:t>
      </w:r>
    </w:p>
    <w:p w:rsidR="00CE77FB" w:rsidRPr="00CE77FB" w:rsidRDefault="00CE77FB" w:rsidP="00CE77FB">
      <w:pPr>
        <w:pStyle w:val="Default"/>
        <w:jc w:val="both"/>
        <w:rPr>
          <w:rFonts w:ascii="Times New Roman" w:hAnsi="Times New Roman" w:cs="Times New Roman"/>
        </w:rPr>
      </w:pPr>
    </w:p>
    <w:p w:rsidR="00CE77FB" w:rsidRPr="00CE77FB" w:rsidRDefault="00CE77FB" w:rsidP="00CE77FB">
      <w:pPr>
        <w:pStyle w:val="Default"/>
        <w:jc w:val="both"/>
        <w:rPr>
          <w:rFonts w:ascii="Times New Roman" w:hAnsi="Times New Roman" w:cs="Times New Roman"/>
        </w:rPr>
      </w:pPr>
      <w:r w:rsidRPr="00CE77FB">
        <w:rPr>
          <w:rFonts w:ascii="Times New Roman" w:hAnsi="Times New Roman" w:cs="Times New Roman"/>
        </w:rPr>
        <w:t>2018 Haziran ayında 111,3 puan olan sabit sermaye yatırım harcaması endeksi ise, Haziran 2019’da yüzde 8,2 oranında azalarak 102,2 seviyesine gerilemiştir. Genel gidişat endeksi ise, Haziran ayında bir önceki aya göre yüzde 15,2 artmış; bir önceki yılın aynı ayına göre ise yüzde 7,1 oranında artış göstermiştir.</w:t>
      </w:r>
    </w:p>
    <w:p w:rsidR="00CE77FB" w:rsidRPr="00C62484" w:rsidRDefault="00CE77FB" w:rsidP="00CE77FB">
      <w:pPr>
        <w:pStyle w:val="Default"/>
        <w:jc w:val="both"/>
        <w:rPr>
          <w:rFonts w:ascii="Times New Roman" w:hAnsi="Times New Roman" w:cs="Times New Roman"/>
        </w:rPr>
      </w:pPr>
    </w:p>
    <w:p w:rsidR="00CE77FB" w:rsidRPr="00C62484" w:rsidRDefault="00CE77FB" w:rsidP="00CE77FB">
      <w:pPr>
        <w:pStyle w:val="ResimYazs"/>
        <w:keepNext/>
        <w:rPr>
          <w:rFonts w:ascii="Times New Roman" w:hAnsi="Times New Roman" w:cs="Times New Roman"/>
        </w:rPr>
      </w:pPr>
      <w:r w:rsidRPr="00C62484">
        <w:rPr>
          <w:rFonts w:ascii="Times New Roman" w:hAnsi="Times New Roman" w:cs="Times New Roman"/>
        </w:rPr>
        <w:t xml:space="preserve">Tablo </w:t>
      </w:r>
      <w:r w:rsidRPr="00C62484">
        <w:rPr>
          <w:rFonts w:ascii="Times New Roman" w:hAnsi="Times New Roman" w:cs="Times New Roman"/>
        </w:rPr>
        <w:fldChar w:fldCharType="begin"/>
      </w:r>
      <w:r w:rsidRPr="00C62484">
        <w:rPr>
          <w:rFonts w:ascii="Times New Roman" w:hAnsi="Times New Roman" w:cs="Times New Roman"/>
        </w:rPr>
        <w:instrText xml:space="preserve"> SEQ Tablo \* ARABIC </w:instrText>
      </w:r>
      <w:r w:rsidRPr="00C62484">
        <w:rPr>
          <w:rFonts w:ascii="Times New Roman" w:hAnsi="Times New Roman" w:cs="Times New Roman"/>
        </w:rPr>
        <w:fldChar w:fldCharType="separate"/>
      </w:r>
      <w:r w:rsidRPr="00C62484">
        <w:rPr>
          <w:rFonts w:ascii="Times New Roman" w:hAnsi="Times New Roman" w:cs="Times New Roman"/>
          <w:noProof/>
        </w:rPr>
        <w:t>1</w:t>
      </w:r>
      <w:r w:rsidRPr="00C62484">
        <w:rPr>
          <w:rFonts w:ascii="Times New Roman" w:hAnsi="Times New Roman" w:cs="Times New Roman"/>
          <w:noProof/>
        </w:rPr>
        <w:fldChar w:fldCharType="end"/>
      </w:r>
      <w:r w:rsidRPr="00C62484">
        <w:rPr>
          <w:rFonts w:ascii="Times New Roman" w:hAnsi="Times New Roman" w:cs="Times New Roman"/>
        </w:rPr>
        <w:t>: Bileşenler Bazında Reel Kesim Güven Endeki (Haziran 2017, Haziran 2018, Haziran 2019)</w:t>
      </w:r>
    </w:p>
    <w:tbl>
      <w:tblPr>
        <w:tblStyle w:val="AkGlgeleme-Vurgu11"/>
        <w:tblW w:w="8253" w:type="dxa"/>
        <w:tblLook w:val="04A0" w:firstRow="1" w:lastRow="0" w:firstColumn="1" w:lastColumn="0" w:noHBand="0" w:noVBand="1"/>
      </w:tblPr>
      <w:tblGrid>
        <w:gridCol w:w="4219"/>
        <w:gridCol w:w="916"/>
        <w:gridCol w:w="1780"/>
        <w:gridCol w:w="1338"/>
      </w:tblGrid>
      <w:tr w:rsidR="00CE77FB" w:rsidRPr="00C62484" w:rsidTr="00954A7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253" w:type="dxa"/>
            <w:gridSpan w:val="4"/>
            <w:noWrap/>
            <w:hideMark/>
          </w:tcPr>
          <w:p w:rsidR="00CE77FB" w:rsidRPr="00C62484" w:rsidRDefault="00CE77FB" w:rsidP="00954A74">
            <w:pPr>
              <w:jc w:val="center"/>
              <w:rPr>
                <w:rFonts w:ascii="Times New Roman" w:eastAsia="Times New Roman" w:hAnsi="Times New Roman" w:cs="Times New Roman"/>
                <w:b w:val="0"/>
                <w:bCs w:val="0"/>
                <w:color w:val="000000"/>
                <w:sz w:val="20"/>
                <w:szCs w:val="24"/>
              </w:rPr>
            </w:pPr>
            <w:r w:rsidRPr="00C62484">
              <w:rPr>
                <w:rFonts w:ascii="Times New Roman" w:eastAsia="Times New Roman" w:hAnsi="Times New Roman" w:cs="Times New Roman"/>
                <w:color w:val="000000"/>
                <w:sz w:val="20"/>
                <w:szCs w:val="24"/>
              </w:rPr>
              <w:t>REEL KESİM GÜVEN ENDEKSİ (RKGE)</w:t>
            </w:r>
          </w:p>
        </w:tc>
      </w:tr>
      <w:tr w:rsidR="00CE77FB" w:rsidRPr="00C62484" w:rsidTr="00954A7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19" w:type="dxa"/>
            <w:noWrap/>
            <w:hideMark/>
          </w:tcPr>
          <w:p w:rsidR="00CE77FB" w:rsidRPr="00C62484" w:rsidRDefault="00CE77FB" w:rsidP="00954A74">
            <w:pPr>
              <w:jc w:val="both"/>
              <w:rPr>
                <w:rFonts w:ascii="Times New Roman" w:eastAsia="Times New Roman" w:hAnsi="Times New Roman" w:cs="Times New Roman"/>
                <w:b w:val="0"/>
                <w:bCs w:val="0"/>
                <w:color w:val="000000"/>
                <w:sz w:val="20"/>
                <w:szCs w:val="24"/>
              </w:rPr>
            </w:pPr>
          </w:p>
        </w:tc>
        <w:tc>
          <w:tcPr>
            <w:tcW w:w="916" w:type="dxa"/>
            <w:noWrap/>
            <w:hideMark/>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sidRPr="00C62484">
              <w:rPr>
                <w:rFonts w:ascii="Times New Roman" w:eastAsia="Times New Roman" w:hAnsi="Times New Roman" w:cs="Times New Roman"/>
                <w:b/>
                <w:bCs/>
                <w:color w:val="000000"/>
                <w:sz w:val="20"/>
                <w:szCs w:val="24"/>
              </w:rPr>
              <w:t>2017</w:t>
            </w:r>
          </w:p>
        </w:tc>
        <w:tc>
          <w:tcPr>
            <w:tcW w:w="3118" w:type="dxa"/>
            <w:gridSpan w:val="2"/>
            <w:noWrap/>
            <w:hideMark/>
          </w:tcPr>
          <w:p w:rsidR="00CE77FB" w:rsidRPr="00C62484" w:rsidRDefault="00CE77FB" w:rsidP="00954A7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sidRPr="00C62484">
              <w:rPr>
                <w:rFonts w:ascii="Times New Roman" w:eastAsia="Times New Roman" w:hAnsi="Times New Roman" w:cs="Times New Roman"/>
                <w:b/>
                <w:bCs/>
                <w:color w:val="000000"/>
                <w:sz w:val="20"/>
                <w:szCs w:val="24"/>
              </w:rPr>
              <w:t xml:space="preserve">           2018                         2019</w:t>
            </w:r>
          </w:p>
        </w:tc>
      </w:tr>
      <w:tr w:rsidR="00CE77FB" w:rsidRPr="00C62484" w:rsidTr="00954A74">
        <w:trPr>
          <w:trHeight w:val="390"/>
        </w:trPr>
        <w:tc>
          <w:tcPr>
            <w:cnfStyle w:val="001000000000" w:firstRow="0" w:lastRow="0" w:firstColumn="1" w:lastColumn="0" w:oddVBand="0" w:evenVBand="0" w:oddHBand="0" w:evenHBand="0" w:firstRowFirstColumn="0" w:firstRowLastColumn="0" w:lastRowFirstColumn="0" w:lastRowLastColumn="0"/>
            <w:tcW w:w="4219" w:type="dxa"/>
            <w:noWrap/>
            <w:hideMark/>
          </w:tcPr>
          <w:p w:rsidR="00CE77FB" w:rsidRPr="00C62484" w:rsidRDefault="00CE77FB" w:rsidP="00954A74">
            <w:pPr>
              <w:jc w:val="both"/>
              <w:rPr>
                <w:rFonts w:ascii="Times New Roman" w:eastAsia="Times New Roman" w:hAnsi="Times New Roman" w:cs="Times New Roman"/>
                <w:color w:val="000000"/>
                <w:sz w:val="20"/>
                <w:szCs w:val="24"/>
              </w:rPr>
            </w:pPr>
          </w:p>
        </w:tc>
        <w:tc>
          <w:tcPr>
            <w:tcW w:w="916"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sidRPr="00C62484">
              <w:rPr>
                <w:rFonts w:ascii="Times New Roman" w:eastAsia="Times New Roman" w:hAnsi="Times New Roman" w:cs="Times New Roman"/>
                <w:b/>
                <w:bCs/>
                <w:color w:val="000000"/>
                <w:sz w:val="20"/>
                <w:szCs w:val="24"/>
              </w:rPr>
              <w:t>Haziran</w:t>
            </w:r>
          </w:p>
        </w:tc>
        <w:tc>
          <w:tcPr>
            <w:tcW w:w="1780"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sidRPr="00C62484">
              <w:rPr>
                <w:rFonts w:ascii="Times New Roman" w:eastAsia="Times New Roman" w:hAnsi="Times New Roman" w:cs="Times New Roman"/>
                <w:b/>
                <w:bCs/>
                <w:color w:val="000000"/>
                <w:sz w:val="20"/>
                <w:szCs w:val="24"/>
              </w:rPr>
              <w:t>Haziran</w:t>
            </w:r>
          </w:p>
        </w:tc>
        <w:tc>
          <w:tcPr>
            <w:tcW w:w="1338"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sidRPr="00C62484">
              <w:rPr>
                <w:rFonts w:ascii="Times New Roman" w:eastAsia="Times New Roman" w:hAnsi="Times New Roman" w:cs="Times New Roman"/>
                <w:b/>
                <w:bCs/>
                <w:color w:val="000000"/>
                <w:sz w:val="20"/>
                <w:szCs w:val="24"/>
              </w:rPr>
              <w:t>Haziran</w:t>
            </w:r>
          </w:p>
        </w:tc>
      </w:tr>
      <w:tr w:rsidR="00CE77FB" w:rsidRPr="00C62484" w:rsidTr="00954A7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b w:val="0"/>
                <w:bCs w:val="0"/>
                <w:i/>
                <w:iCs/>
                <w:color w:val="000000"/>
                <w:sz w:val="20"/>
                <w:szCs w:val="24"/>
              </w:rPr>
            </w:pPr>
            <w:r w:rsidRPr="00C62484">
              <w:rPr>
                <w:rFonts w:ascii="Times New Roman" w:eastAsia="Times New Roman" w:hAnsi="Times New Roman" w:cs="Times New Roman"/>
                <w:i/>
                <w:iCs/>
                <w:color w:val="000000"/>
                <w:sz w:val="20"/>
                <w:szCs w:val="24"/>
              </w:rPr>
              <w:t>Reel Kesim Güven Endeksi</w:t>
            </w:r>
          </w:p>
        </w:tc>
        <w:tc>
          <w:tcPr>
            <w:tcW w:w="916" w:type="dxa"/>
            <w:hideMark/>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484">
              <w:rPr>
                <w:rFonts w:ascii="Times New Roman" w:hAnsi="Times New Roman" w:cs="Times New Roman"/>
                <w:b/>
                <w:bCs/>
                <w:i/>
                <w:iCs/>
                <w:color w:val="0D0D0D"/>
                <w:sz w:val="20"/>
                <w:szCs w:val="20"/>
              </w:rPr>
              <w:t>112,40</w:t>
            </w:r>
          </w:p>
        </w:tc>
        <w:tc>
          <w:tcPr>
            <w:tcW w:w="1780" w:type="dxa"/>
            <w:vAlign w:val="bottom"/>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62484">
              <w:rPr>
                <w:rFonts w:ascii="Times New Roman" w:hAnsi="Times New Roman" w:cs="Times New Roman"/>
                <w:b/>
                <w:bCs/>
                <w:i/>
                <w:iCs/>
                <w:color w:val="0D0D0D"/>
                <w:sz w:val="20"/>
                <w:szCs w:val="20"/>
              </w:rPr>
              <w:t>104,60</w:t>
            </w:r>
          </w:p>
        </w:tc>
        <w:tc>
          <w:tcPr>
            <w:tcW w:w="1338" w:type="dxa"/>
            <w:vAlign w:val="center"/>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D0D0D"/>
                <w:sz w:val="20"/>
                <w:szCs w:val="20"/>
              </w:rPr>
            </w:pPr>
            <w:r w:rsidRPr="00C62484">
              <w:rPr>
                <w:rFonts w:ascii="Times New Roman" w:hAnsi="Times New Roman" w:cs="Times New Roman"/>
                <w:b/>
                <w:bCs/>
                <w:i/>
                <w:iCs/>
                <w:color w:val="0D0D0D"/>
                <w:sz w:val="20"/>
                <w:szCs w:val="20"/>
              </w:rPr>
              <w:t>102,5</w:t>
            </w:r>
          </w:p>
        </w:tc>
      </w:tr>
      <w:tr w:rsidR="00CE77FB" w:rsidRPr="00C62484" w:rsidTr="00954A74">
        <w:trPr>
          <w:trHeight w:val="284"/>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Toplam sipariş miktarı (Mevcut durum)</w:t>
            </w:r>
          </w:p>
        </w:tc>
        <w:tc>
          <w:tcPr>
            <w:tcW w:w="916"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99,10</w:t>
            </w:r>
          </w:p>
        </w:tc>
        <w:tc>
          <w:tcPr>
            <w:tcW w:w="1780" w:type="dxa"/>
            <w:noWrap/>
            <w:vAlign w:val="bottom"/>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92,20</w:t>
            </w:r>
          </w:p>
        </w:tc>
        <w:tc>
          <w:tcPr>
            <w:tcW w:w="1338" w:type="dxa"/>
            <w:noWrap/>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82,8</w:t>
            </w:r>
          </w:p>
        </w:tc>
      </w:tr>
      <w:tr w:rsidR="00CE77FB" w:rsidRPr="00C62484" w:rsidTr="00954A7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 xml:space="preserve">Mamul mal stok miktarı (Mevcut durum) (*) </w:t>
            </w:r>
          </w:p>
        </w:tc>
        <w:tc>
          <w:tcPr>
            <w:tcW w:w="916" w:type="dxa"/>
            <w:noWrap/>
            <w:hideMark/>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98,60</w:t>
            </w:r>
          </w:p>
        </w:tc>
        <w:tc>
          <w:tcPr>
            <w:tcW w:w="1780" w:type="dxa"/>
            <w:noWrap/>
            <w:vAlign w:val="bottom"/>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98,50</w:t>
            </w:r>
          </w:p>
        </w:tc>
        <w:tc>
          <w:tcPr>
            <w:tcW w:w="1338" w:type="dxa"/>
            <w:noWrap/>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98,4</w:t>
            </w:r>
          </w:p>
        </w:tc>
      </w:tr>
      <w:tr w:rsidR="00CE77FB" w:rsidRPr="00C62484" w:rsidTr="00954A74">
        <w:trPr>
          <w:trHeight w:val="392"/>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Üretim hacmi (Gelecek 3 ay)</w:t>
            </w:r>
          </w:p>
        </w:tc>
        <w:tc>
          <w:tcPr>
            <w:tcW w:w="916"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116,60</w:t>
            </w:r>
          </w:p>
        </w:tc>
        <w:tc>
          <w:tcPr>
            <w:tcW w:w="1780" w:type="dxa"/>
            <w:noWrap/>
            <w:vAlign w:val="bottom"/>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110,80</w:t>
            </w:r>
          </w:p>
        </w:tc>
        <w:tc>
          <w:tcPr>
            <w:tcW w:w="1338" w:type="dxa"/>
            <w:noWrap/>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111,0</w:t>
            </w:r>
          </w:p>
        </w:tc>
      </w:tr>
      <w:tr w:rsidR="00CE77FB" w:rsidRPr="00C62484" w:rsidTr="00954A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Toplam istihdam (Gelecek 3 ay)</w:t>
            </w:r>
          </w:p>
        </w:tc>
        <w:tc>
          <w:tcPr>
            <w:tcW w:w="916" w:type="dxa"/>
            <w:noWrap/>
            <w:hideMark/>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114,90</w:t>
            </w:r>
          </w:p>
        </w:tc>
        <w:tc>
          <w:tcPr>
            <w:tcW w:w="1780" w:type="dxa"/>
            <w:noWrap/>
            <w:vAlign w:val="bottom"/>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112,40</w:t>
            </w:r>
          </w:p>
        </w:tc>
        <w:tc>
          <w:tcPr>
            <w:tcW w:w="1338" w:type="dxa"/>
            <w:noWrap/>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105,1</w:t>
            </w:r>
          </w:p>
        </w:tc>
      </w:tr>
      <w:tr w:rsidR="00CE77FB" w:rsidRPr="00C62484" w:rsidTr="00954A74">
        <w:trPr>
          <w:trHeight w:val="485"/>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Toplam sipariş miktarı (Son 3 ay)</w:t>
            </w:r>
          </w:p>
        </w:tc>
        <w:tc>
          <w:tcPr>
            <w:tcW w:w="916"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130,20</w:t>
            </w:r>
          </w:p>
        </w:tc>
        <w:tc>
          <w:tcPr>
            <w:tcW w:w="1780" w:type="dxa"/>
            <w:noWrap/>
            <w:vAlign w:val="bottom"/>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112,60</w:t>
            </w:r>
          </w:p>
        </w:tc>
        <w:tc>
          <w:tcPr>
            <w:tcW w:w="1338" w:type="dxa"/>
            <w:noWrap/>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114,1</w:t>
            </w:r>
          </w:p>
        </w:tc>
      </w:tr>
      <w:tr w:rsidR="00CE77FB" w:rsidRPr="00C62484" w:rsidTr="00954A7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İhracat sipariş miktarı (Gelecek 3 ay)</w:t>
            </w:r>
          </w:p>
        </w:tc>
        <w:tc>
          <w:tcPr>
            <w:tcW w:w="916" w:type="dxa"/>
            <w:noWrap/>
            <w:hideMark/>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116,30</w:t>
            </w:r>
          </w:p>
        </w:tc>
        <w:tc>
          <w:tcPr>
            <w:tcW w:w="1780" w:type="dxa"/>
            <w:noWrap/>
            <w:vAlign w:val="bottom"/>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115,00</w:t>
            </w:r>
          </w:p>
        </w:tc>
        <w:tc>
          <w:tcPr>
            <w:tcW w:w="1338" w:type="dxa"/>
            <w:noWrap/>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116,1</w:t>
            </w:r>
          </w:p>
        </w:tc>
      </w:tr>
      <w:tr w:rsidR="00CE77FB" w:rsidRPr="00C62484" w:rsidTr="00954A74">
        <w:trPr>
          <w:trHeight w:val="324"/>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Sabit sermaye yatırım harcaması</w:t>
            </w:r>
          </w:p>
        </w:tc>
        <w:tc>
          <w:tcPr>
            <w:tcW w:w="916" w:type="dxa"/>
            <w:noWrap/>
            <w:hideMark/>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112,20</w:t>
            </w:r>
          </w:p>
        </w:tc>
        <w:tc>
          <w:tcPr>
            <w:tcW w:w="1780" w:type="dxa"/>
            <w:noWrap/>
            <w:vAlign w:val="bottom"/>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111,30</w:t>
            </w:r>
          </w:p>
        </w:tc>
        <w:tc>
          <w:tcPr>
            <w:tcW w:w="1338" w:type="dxa"/>
            <w:noWrap/>
          </w:tcPr>
          <w:p w:rsidR="00CE77FB" w:rsidRPr="00C62484" w:rsidRDefault="00CE77FB" w:rsidP="00954A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102,2</w:t>
            </w:r>
          </w:p>
        </w:tc>
      </w:tr>
      <w:tr w:rsidR="00CE77FB" w:rsidRPr="00C62484" w:rsidTr="00954A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9" w:type="dxa"/>
            <w:hideMark/>
          </w:tcPr>
          <w:p w:rsidR="00CE77FB" w:rsidRPr="00C62484" w:rsidRDefault="00CE77FB" w:rsidP="00954A74">
            <w:pPr>
              <w:jc w:val="both"/>
              <w:rPr>
                <w:rFonts w:ascii="Times New Roman" w:eastAsia="Times New Roman" w:hAnsi="Times New Roman" w:cs="Times New Roman"/>
                <w:color w:val="000000"/>
                <w:sz w:val="20"/>
                <w:szCs w:val="24"/>
              </w:rPr>
            </w:pPr>
            <w:r w:rsidRPr="00C62484">
              <w:rPr>
                <w:rFonts w:ascii="Times New Roman" w:eastAsia="Times New Roman" w:hAnsi="Times New Roman" w:cs="Times New Roman"/>
                <w:color w:val="000000"/>
                <w:sz w:val="20"/>
                <w:szCs w:val="24"/>
              </w:rPr>
              <w:t>Genel gidişat</w:t>
            </w:r>
          </w:p>
        </w:tc>
        <w:tc>
          <w:tcPr>
            <w:tcW w:w="916" w:type="dxa"/>
            <w:noWrap/>
            <w:hideMark/>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111,40</w:t>
            </w:r>
          </w:p>
        </w:tc>
        <w:tc>
          <w:tcPr>
            <w:tcW w:w="1780" w:type="dxa"/>
            <w:noWrap/>
            <w:vAlign w:val="bottom"/>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84,20</w:t>
            </w:r>
          </w:p>
        </w:tc>
        <w:tc>
          <w:tcPr>
            <w:tcW w:w="1338" w:type="dxa"/>
            <w:noWrap/>
          </w:tcPr>
          <w:p w:rsidR="00CE77FB" w:rsidRPr="00C62484" w:rsidRDefault="00CE77FB" w:rsidP="00954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C62484">
              <w:rPr>
                <w:rFonts w:ascii="Times New Roman" w:hAnsi="Times New Roman" w:cs="Times New Roman"/>
                <w:color w:val="0D0D0D"/>
                <w:sz w:val="20"/>
                <w:szCs w:val="20"/>
              </w:rPr>
              <w:t>90,2</w:t>
            </w:r>
          </w:p>
        </w:tc>
      </w:tr>
    </w:tbl>
    <w:p w:rsidR="00CE77FB" w:rsidRPr="00C62484" w:rsidRDefault="00CE77FB" w:rsidP="00CE77FB">
      <w:pPr>
        <w:pStyle w:val="Default"/>
        <w:rPr>
          <w:rFonts w:ascii="Times New Roman" w:hAnsi="Times New Roman" w:cs="Times New Roman"/>
          <w:b/>
          <w:bCs/>
          <w:i/>
          <w:sz w:val="16"/>
        </w:rPr>
      </w:pPr>
      <w:r w:rsidRPr="00C62484">
        <w:rPr>
          <w:rFonts w:ascii="Times New Roman" w:hAnsi="Times New Roman" w:cs="Times New Roman"/>
          <w:b/>
          <w:bCs/>
          <w:i/>
          <w:sz w:val="16"/>
        </w:rPr>
        <w:t xml:space="preserve">(*) Mamul mal stok miktarı yayılma endeksi oluşturulurken ters kodlanmaktadır. Yayılma endeksinin artışı stok azalışına, </w:t>
      </w:r>
    </w:p>
    <w:p w:rsidR="00CE77FB" w:rsidRPr="00C62484" w:rsidRDefault="00CE77FB" w:rsidP="00CE77FB">
      <w:pPr>
        <w:pStyle w:val="Default"/>
        <w:rPr>
          <w:rFonts w:ascii="Times New Roman" w:hAnsi="Times New Roman" w:cs="Times New Roman"/>
          <w:b/>
          <w:bCs/>
          <w:i/>
          <w:sz w:val="16"/>
        </w:rPr>
      </w:pPr>
      <w:proofErr w:type="gramStart"/>
      <w:r w:rsidRPr="00C62484">
        <w:rPr>
          <w:rFonts w:ascii="Times New Roman" w:hAnsi="Times New Roman" w:cs="Times New Roman"/>
          <w:b/>
          <w:bCs/>
          <w:i/>
          <w:sz w:val="16"/>
        </w:rPr>
        <w:t>azalışı</w:t>
      </w:r>
      <w:proofErr w:type="gramEnd"/>
      <w:r w:rsidRPr="00C62484">
        <w:rPr>
          <w:rFonts w:ascii="Times New Roman" w:hAnsi="Times New Roman" w:cs="Times New Roman"/>
          <w:b/>
          <w:bCs/>
          <w:i/>
          <w:sz w:val="16"/>
        </w:rPr>
        <w:t xml:space="preserve"> stok artışına işaret etmektedir.</w:t>
      </w:r>
    </w:p>
    <w:p w:rsidR="00CE77FB" w:rsidRPr="00C62484" w:rsidRDefault="00CE77FB" w:rsidP="00CE77FB">
      <w:pPr>
        <w:jc w:val="both"/>
        <w:rPr>
          <w:rFonts w:ascii="Times New Roman" w:hAnsi="Times New Roman" w:cs="Times New Roman"/>
          <w:sz w:val="24"/>
          <w:szCs w:val="24"/>
        </w:rPr>
      </w:pPr>
    </w:p>
    <w:p w:rsidR="00CE77FB" w:rsidRDefault="00CE77FB" w:rsidP="00423253">
      <w:pPr>
        <w:rPr>
          <w:szCs w:val="24"/>
        </w:rPr>
      </w:pPr>
    </w:p>
    <w:p w:rsidR="00AF1F9F" w:rsidRDefault="00AF1F9F" w:rsidP="00C74CBA">
      <w:pPr>
        <w:rPr>
          <w:rFonts w:ascii="Times New Roman" w:hAnsi="Times New Roman" w:cs="Times New Roman"/>
          <w:b/>
          <w:sz w:val="20"/>
          <w:szCs w:val="20"/>
        </w:rPr>
      </w:pPr>
    </w:p>
    <w:p w:rsidR="00AF1F9F" w:rsidRDefault="00AF1F9F">
      <w:pPr>
        <w:spacing w:after="160" w:line="259" w:lineRule="auto"/>
        <w:rPr>
          <w:rFonts w:ascii="Times New Roman" w:hAnsi="Times New Roman" w:cs="Times New Roman"/>
          <w:b/>
          <w:sz w:val="20"/>
          <w:szCs w:val="20"/>
        </w:rPr>
      </w:pPr>
      <w:r>
        <w:rPr>
          <w:rFonts w:ascii="Times New Roman" w:hAnsi="Times New Roman" w:cs="Times New Roman"/>
          <w:b/>
          <w:sz w:val="20"/>
          <w:szCs w:val="20"/>
        </w:rPr>
        <w:br w:type="page"/>
      </w:r>
    </w:p>
    <w:tbl>
      <w:tblPr>
        <w:tblW w:w="498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70"/>
      </w:tblGrid>
      <w:tr w:rsidR="00AF1F9F" w:rsidTr="005F60CE">
        <w:trPr>
          <w:trHeight w:val="737"/>
        </w:trPr>
        <w:tc>
          <w:tcPr>
            <w:tcW w:w="9041" w:type="dxa"/>
            <w:vAlign w:val="center"/>
          </w:tcPr>
          <w:p w:rsidR="00AF1F9F" w:rsidRDefault="00AF1F9F" w:rsidP="00AF1F9F">
            <w:pPr>
              <w:pStyle w:val="stbilgi"/>
              <w:spacing w:line="276" w:lineRule="auto"/>
              <w:rPr>
                <w:rFonts w:asciiTheme="majorHAnsi" w:eastAsiaTheme="majorEastAsia" w:hAnsiTheme="majorHAnsi" w:cstheme="majorBidi"/>
                <w:b/>
                <w:bCs/>
                <w:color w:val="5B9BD5" w:themeColor="accent1"/>
                <w:sz w:val="36"/>
                <w:szCs w:val="36"/>
              </w:rPr>
            </w:pPr>
            <w:r w:rsidRPr="00E15504">
              <w:rPr>
                <w:rFonts w:eastAsiaTheme="majorEastAsia" w:cs="Times New Roman"/>
                <w:sz w:val="36"/>
                <w:szCs w:val="36"/>
              </w:rPr>
              <w:t xml:space="preserve">2019 </w:t>
            </w:r>
            <w:r>
              <w:rPr>
                <w:rFonts w:eastAsiaTheme="majorEastAsia" w:cs="Times New Roman"/>
                <w:sz w:val="36"/>
                <w:szCs w:val="36"/>
              </w:rPr>
              <w:t>Haziran</w:t>
            </w:r>
            <w:r>
              <w:rPr>
                <w:rFonts w:eastAsiaTheme="majorEastAsia" w:cs="Times New Roman"/>
                <w:sz w:val="36"/>
                <w:szCs w:val="36"/>
              </w:rPr>
              <w:br/>
            </w:r>
            <w:r w:rsidRPr="00E15504">
              <w:rPr>
                <w:rFonts w:eastAsiaTheme="majorEastAsia" w:cs="Times New Roman"/>
                <w:sz w:val="36"/>
                <w:szCs w:val="36"/>
              </w:rPr>
              <w:t>SEKTÖREL GÜVEN ENDEKSLERİ</w:t>
            </w:r>
          </w:p>
        </w:tc>
      </w:tr>
    </w:tbl>
    <w:p w:rsidR="00423253" w:rsidRDefault="00423253" w:rsidP="00C74CBA">
      <w:pPr>
        <w:rPr>
          <w:rFonts w:ascii="Times New Roman" w:hAnsi="Times New Roman" w:cs="Times New Roman"/>
          <w:b/>
          <w:sz w:val="20"/>
          <w:szCs w:val="20"/>
        </w:rPr>
      </w:pPr>
    </w:p>
    <w:p w:rsidR="00AF1F9F" w:rsidRPr="00E15504" w:rsidRDefault="00AF1F9F" w:rsidP="00AF1F9F">
      <w:pPr>
        <w:rPr>
          <w:b/>
        </w:rPr>
      </w:pPr>
      <w:r>
        <w:rPr>
          <w:b/>
        </w:rPr>
        <w:t>Haziran</w:t>
      </w:r>
      <w:r w:rsidRPr="00E15504">
        <w:rPr>
          <w:b/>
        </w:rPr>
        <w:t xml:space="preserve"> ayı </w:t>
      </w:r>
      <w:r w:rsidRPr="00E15504">
        <w:rPr>
          <w:rFonts w:eastAsia="Times New Roman"/>
          <w:b/>
          <w:bCs/>
        </w:rPr>
        <w:t xml:space="preserve">inşaat ve hizmet sektörü güven endeksleri </w:t>
      </w:r>
      <w:r w:rsidRPr="00E15504">
        <w:rPr>
          <w:b/>
        </w:rPr>
        <w:t xml:space="preserve">TÜİK tarafından </w:t>
      </w:r>
      <w:r>
        <w:rPr>
          <w:b/>
        </w:rPr>
        <w:t>24 Haziran</w:t>
      </w:r>
      <w:r w:rsidRPr="00E15504">
        <w:rPr>
          <w:b/>
        </w:rPr>
        <w:t xml:space="preserve"> 2019 tarihinde yayımlandı. </w:t>
      </w:r>
    </w:p>
    <w:p w:rsidR="00AF1F9F" w:rsidRPr="004B05D2" w:rsidRDefault="00AF1F9F" w:rsidP="00AF1F9F">
      <w:pPr>
        <w:pStyle w:val="Balk2"/>
        <w:rPr>
          <w:rFonts w:cs="Times New Roman"/>
        </w:rPr>
      </w:pPr>
      <w:r w:rsidRPr="004B05D2">
        <w:rPr>
          <w:rFonts w:cs="Times New Roman"/>
        </w:rPr>
        <w:t>İnşaat sektörü güven endeksi</w:t>
      </w:r>
    </w:p>
    <w:p w:rsidR="00AF1F9F" w:rsidRDefault="00AF1F9F" w:rsidP="00AF1F9F">
      <w:pPr>
        <w:rPr>
          <w:rFonts w:cs="Times New Roman"/>
        </w:rPr>
      </w:pPr>
      <w:r>
        <w:rPr>
          <w:rFonts w:cs="Times New Roman"/>
        </w:rPr>
        <w:t>2019 yılı Mayıs</w:t>
      </w:r>
      <w:r w:rsidRPr="00472839">
        <w:rPr>
          <w:rFonts w:cs="Times New Roman"/>
        </w:rPr>
        <w:t xml:space="preserve"> ayında </w:t>
      </w:r>
      <w:r>
        <w:rPr>
          <w:rFonts w:cs="Times New Roman"/>
        </w:rPr>
        <w:t xml:space="preserve">49,8 </w:t>
      </w:r>
      <w:r w:rsidRPr="00472839">
        <w:rPr>
          <w:rFonts w:cs="Times New Roman"/>
        </w:rPr>
        <w:t xml:space="preserve">olan mevsim etkilerinden arındırılmış inşaat sektörü güven endeksi, </w:t>
      </w:r>
      <w:r>
        <w:rPr>
          <w:rFonts w:cs="Times New Roman"/>
        </w:rPr>
        <w:t>2019 yılı Haziran ayında 0,7 puan artarak 50,4 değerine yükselmiştir</w:t>
      </w:r>
      <w:r w:rsidRPr="00472839">
        <w:rPr>
          <w:rFonts w:cs="Times New Roman"/>
        </w:rPr>
        <w:t>. Bir önceki</w:t>
      </w:r>
      <w:r>
        <w:rPr>
          <w:rFonts w:cs="Times New Roman"/>
        </w:rPr>
        <w:t xml:space="preserve"> yılın aynı dönemine göre ise 75,3 </w:t>
      </w:r>
      <w:r w:rsidRPr="00472839">
        <w:rPr>
          <w:rFonts w:cs="Times New Roman"/>
        </w:rPr>
        <w:t xml:space="preserve">puan olan </w:t>
      </w:r>
      <w:r>
        <w:rPr>
          <w:rFonts w:cs="Times New Roman"/>
        </w:rPr>
        <w:t>inşaat sektörü güven endeksi 24,9</w:t>
      </w:r>
      <w:r w:rsidRPr="00472839">
        <w:rPr>
          <w:rFonts w:cs="Times New Roman"/>
        </w:rPr>
        <w:t xml:space="preserve"> puan </w:t>
      </w:r>
      <w:r>
        <w:rPr>
          <w:rFonts w:cs="Times New Roman"/>
        </w:rPr>
        <w:t>azalarak</w:t>
      </w:r>
      <w:r w:rsidRPr="00472839">
        <w:rPr>
          <w:rFonts w:cs="Times New Roman"/>
        </w:rPr>
        <w:t xml:space="preserve"> yü</w:t>
      </w:r>
      <w:r>
        <w:rPr>
          <w:rFonts w:cs="Times New Roman"/>
        </w:rPr>
        <w:t xml:space="preserve">zde 33,0 </w:t>
      </w:r>
      <w:r w:rsidRPr="00472839">
        <w:rPr>
          <w:rFonts w:cs="Times New Roman"/>
        </w:rPr>
        <w:t xml:space="preserve">oranında </w:t>
      </w:r>
      <w:r>
        <w:rPr>
          <w:rFonts w:cs="Times New Roman"/>
        </w:rPr>
        <w:t>düşmüştür.</w:t>
      </w:r>
    </w:p>
    <w:p w:rsidR="00AF1F9F" w:rsidRPr="0071356F" w:rsidRDefault="00AF1F9F" w:rsidP="00AF1F9F">
      <w:pPr>
        <w:rPr>
          <w:rFonts w:cs="Times New Roman"/>
        </w:rPr>
      </w:pPr>
      <w:r w:rsidRPr="002B5EAF">
        <w:rPr>
          <w:rFonts w:cs="Times New Roman"/>
        </w:rPr>
        <w:t>Mevsimlikten arındırılmamış inşaat sektörü g</w:t>
      </w:r>
      <w:r>
        <w:rPr>
          <w:rFonts w:cs="Times New Roman"/>
        </w:rPr>
        <w:t>üven endeksine bakıldığında ise</w:t>
      </w:r>
      <w:r w:rsidRPr="002B5EAF">
        <w:rPr>
          <w:rFonts w:cs="Times New Roman"/>
        </w:rPr>
        <w:t xml:space="preserve"> 201</w:t>
      </w:r>
      <w:r>
        <w:rPr>
          <w:rFonts w:cs="Times New Roman"/>
        </w:rPr>
        <w:t>9</w:t>
      </w:r>
      <w:r w:rsidRPr="002B5EAF">
        <w:rPr>
          <w:rFonts w:cs="Times New Roman"/>
        </w:rPr>
        <w:t xml:space="preserve"> yılı </w:t>
      </w:r>
      <w:r>
        <w:rPr>
          <w:rFonts w:cs="Times New Roman"/>
        </w:rPr>
        <w:t xml:space="preserve">Haziran ayında bir önceki aya göre 0,5 </w:t>
      </w:r>
      <w:r w:rsidRPr="002B5EAF">
        <w:rPr>
          <w:rFonts w:cs="Times New Roman"/>
        </w:rPr>
        <w:t xml:space="preserve">puan </w:t>
      </w:r>
      <w:r>
        <w:rPr>
          <w:rFonts w:cs="Times New Roman"/>
        </w:rPr>
        <w:t>azalarak 54,3 puana düştüğü görülmektedir</w:t>
      </w:r>
      <w:r w:rsidRPr="002B5EAF">
        <w:rPr>
          <w:rFonts w:cs="Times New Roman"/>
        </w:rPr>
        <w:t>. 201</w:t>
      </w:r>
      <w:r>
        <w:rPr>
          <w:rFonts w:cs="Times New Roman"/>
        </w:rPr>
        <w:t>8</w:t>
      </w:r>
      <w:r w:rsidRPr="002B5EAF">
        <w:rPr>
          <w:rFonts w:cs="Times New Roman"/>
        </w:rPr>
        <w:t xml:space="preserve"> </w:t>
      </w:r>
      <w:r>
        <w:rPr>
          <w:rFonts w:cs="Times New Roman"/>
        </w:rPr>
        <w:t xml:space="preserve">Haziran </w:t>
      </w:r>
      <w:r w:rsidRPr="002B5EAF">
        <w:rPr>
          <w:rFonts w:cs="Times New Roman"/>
        </w:rPr>
        <w:t xml:space="preserve">ayı verilerine göre incelendiğinde ise, yüzde </w:t>
      </w:r>
      <w:r>
        <w:rPr>
          <w:rFonts w:cs="Times New Roman"/>
        </w:rPr>
        <w:t>31,4</w:t>
      </w:r>
      <w:r>
        <w:rPr>
          <w:rFonts w:eastAsia="Times New Roman" w:cs="Times New Roman"/>
          <w:color w:val="000000"/>
        </w:rPr>
        <w:t xml:space="preserve"> </w:t>
      </w:r>
      <w:r w:rsidRPr="002B5EAF">
        <w:rPr>
          <w:rFonts w:eastAsia="Times New Roman" w:cs="Times New Roman"/>
          <w:color w:val="000000"/>
        </w:rPr>
        <w:t xml:space="preserve">oranında </w:t>
      </w:r>
      <w:r>
        <w:rPr>
          <w:rFonts w:eastAsia="Times New Roman" w:cs="Times New Roman"/>
          <w:color w:val="000000"/>
        </w:rPr>
        <w:t>azaldığı gözlemlenmektedir.</w:t>
      </w:r>
    </w:p>
    <w:p w:rsidR="00AF1F9F" w:rsidRPr="00AF1F9F" w:rsidRDefault="00AF1F9F" w:rsidP="00AF1F9F">
      <w:pPr>
        <w:pStyle w:val="Grafik"/>
        <w:rPr>
          <w:sz w:val="20"/>
          <w:szCs w:val="20"/>
        </w:rPr>
      </w:pPr>
      <w:r w:rsidRPr="00AF1F9F">
        <w:rPr>
          <w:sz w:val="20"/>
          <w:szCs w:val="20"/>
        </w:rPr>
        <w:t xml:space="preserve">Şekil </w:t>
      </w:r>
      <w:r w:rsidRPr="00AF1F9F">
        <w:rPr>
          <w:sz w:val="20"/>
          <w:szCs w:val="20"/>
        </w:rPr>
        <w:fldChar w:fldCharType="begin"/>
      </w:r>
      <w:r w:rsidRPr="00AF1F9F">
        <w:rPr>
          <w:sz w:val="20"/>
          <w:szCs w:val="20"/>
        </w:rPr>
        <w:instrText xml:space="preserve"> SEQ Şekil \* ARABIC </w:instrText>
      </w:r>
      <w:r w:rsidRPr="00AF1F9F">
        <w:rPr>
          <w:sz w:val="20"/>
          <w:szCs w:val="20"/>
        </w:rPr>
        <w:fldChar w:fldCharType="separate"/>
      </w:r>
      <w:r w:rsidRPr="00AF1F9F">
        <w:rPr>
          <w:noProof/>
          <w:sz w:val="20"/>
          <w:szCs w:val="20"/>
        </w:rPr>
        <w:t>1</w:t>
      </w:r>
      <w:r w:rsidRPr="00AF1F9F">
        <w:rPr>
          <w:sz w:val="20"/>
          <w:szCs w:val="20"/>
        </w:rPr>
        <w:fldChar w:fldCharType="end"/>
      </w:r>
      <w:r w:rsidRPr="00AF1F9F">
        <w:rPr>
          <w:sz w:val="20"/>
          <w:szCs w:val="20"/>
        </w:rPr>
        <w:t>: İnşaat Sektörü Güven Endeksi (Haziran 2018 – Haziran 2019)</w:t>
      </w:r>
    </w:p>
    <w:p w:rsidR="00AF1F9F" w:rsidRDefault="00AF1F9F" w:rsidP="00AF1F9F">
      <w:pPr>
        <w:rPr>
          <w:rFonts w:cs="Times New Roman"/>
        </w:rPr>
      </w:pPr>
      <w:r w:rsidRPr="00805589">
        <w:rPr>
          <w:noProof/>
        </w:rPr>
        <w:drawing>
          <wp:inline distT="0" distB="0" distL="0" distR="0" wp14:anchorId="5602A581" wp14:editId="3E941C1B">
            <wp:extent cx="5760693" cy="1984076"/>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84996" cy="1992446"/>
                    </a:xfrm>
                    <a:prstGeom prst="rect">
                      <a:avLst/>
                    </a:prstGeom>
                    <a:noFill/>
                    <a:ln>
                      <a:noFill/>
                    </a:ln>
                  </pic:spPr>
                </pic:pic>
              </a:graphicData>
            </a:graphic>
          </wp:inline>
        </w:drawing>
      </w:r>
    </w:p>
    <w:p w:rsidR="00AF1F9F" w:rsidRDefault="00AF1F9F" w:rsidP="00AF1F9F">
      <w:r>
        <w:t xml:space="preserve">Mevsimlikten arındırılmış inşaat sektörü güven endeksini oluşturan alt kalemlere bakıldığında, Mayıs 2019’da 38,4 puan olan alınan siparişlerin mevcut düzeyinin, Haziran 2019’da 1,1 puan azaldığı ve 37,3 puan olduğu gözlemlenmektedir (Tablo 1). Gelecek 3 aylık dönem için toplam çalışan sayısı beklentisi ise, Mayıs 2019’da 61,2 puan iken Haziran 2019’da yüzde 3,9 oranında artarak 63,6 puan olmuştur. </w:t>
      </w:r>
    </w:p>
    <w:p w:rsidR="00AE3238" w:rsidRPr="004B05D2" w:rsidRDefault="00AE3238" w:rsidP="00AE3238">
      <w:pPr>
        <w:pStyle w:val="Grafik"/>
      </w:pPr>
      <w:r>
        <w:t>T</w:t>
      </w:r>
      <w:r w:rsidRPr="004B05D2">
        <w:t xml:space="preserve">ablo </w:t>
      </w:r>
      <w:r w:rsidR="000A2B00">
        <w:fldChar w:fldCharType="begin"/>
      </w:r>
      <w:r w:rsidR="000A2B00">
        <w:instrText xml:space="preserve"> SEQ Tablo \* ARABIC </w:instrText>
      </w:r>
      <w:r w:rsidR="000A2B00">
        <w:fldChar w:fldCharType="separate"/>
      </w:r>
      <w:r>
        <w:rPr>
          <w:noProof/>
        </w:rPr>
        <w:t>1</w:t>
      </w:r>
      <w:r w:rsidR="000A2B00">
        <w:rPr>
          <w:noProof/>
        </w:rPr>
        <w:fldChar w:fldCharType="end"/>
      </w:r>
      <w:r w:rsidRPr="004B05D2">
        <w:t>: İnşaat Sektörü Güven Endeksi Bileşenleri (</w:t>
      </w:r>
      <w:r>
        <w:t>Mayıs 2019 - Haziran 2019</w:t>
      </w:r>
      <w:r w:rsidRPr="004B05D2">
        <w:t>)</w:t>
      </w:r>
    </w:p>
    <w:tbl>
      <w:tblPr>
        <w:tblStyle w:val="AkGlgeleme-Vurgu11"/>
        <w:tblW w:w="9442" w:type="dxa"/>
        <w:tblLook w:val="04A0" w:firstRow="1" w:lastRow="0" w:firstColumn="1" w:lastColumn="0" w:noHBand="0" w:noVBand="1"/>
      </w:tblPr>
      <w:tblGrid>
        <w:gridCol w:w="6890"/>
        <w:gridCol w:w="1224"/>
        <w:gridCol w:w="1328"/>
      </w:tblGrid>
      <w:tr w:rsidR="00AE3238" w:rsidRPr="00DC3CEB" w:rsidTr="00954A74">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AE3238" w:rsidRPr="00E06B41" w:rsidRDefault="00AE3238" w:rsidP="00954A74">
            <w:pPr>
              <w:rPr>
                <w:rFonts w:eastAsia="Times New Roman" w:cs="Times New Roman"/>
                <w:color w:val="000000"/>
              </w:rPr>
            </w:pPr>
          </w:p>
        </w:tc>
        <w:tc>
          <w:tcPr>
            <w:tcW w:w="2552" w:type="dxa"/>
            <w:gridSpan w:val="2"/>
            <w:noWrap/>
            <w:hideMark/>
          </w:tcPr>
          <w:p w:rsidR="00AE3238" w:rsidRPr="00E06B41" w:rsidRDefault="00AE3238" w:rsidP="00954A7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06B41">
              <w:rPr>
                <w:rFonts w:eastAsia="Times New Roman" w:cs="Times New Roman"/>
                <w:color w:val="000000"/>
              </w:rPr>
              <w:t>Endeks</w:t>
            </w:r>
          </w:p>
        </w:tc>
      </w:tr>
      <w:tr w:rsidR="00AE3238" w:rsidRPr="00415908" w:rsidTr="00954A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AE3238" w:rsidRPr="00E06B41" w:rsidRDefault="00AE3238" w:rsidP="00954A74">
            <w:pPr>
              <w:rPr>
                <w:rFonts w:eastAsia="Times New Roman" w:cs="Times New Roman"/>
                <w:color w:val="000000"/>
              </w:rPr>
            </w:pPr>
          </w:p>
        </w:tc>
        <w:tc>
          <w:tcPr>
            <w:tcW w:w="1224" w:type="dxa"/>
            <w:noWrap/>
          </w:tcPr>
          <w:p w:rsidR="00AE3238" w:rsidRPr="00E06B41" w:rsidRDefault="00AE3238" w:rsidP="00954A7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May.19</w:t>
            </w:r>
          </w:p>
        </w:tc>
        <w:tc>
          <w:tcPr>
            <w:tcW w:w="1328" w:type="dxa"/>
            <w:noWrap/>
          </w:tcPr>
          <w:p w:rsidR="00AE3238" w:rsidRPr="00E06B41" w:rsidRDefault="00AE3238" w:rsidP="00954A7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Haz.19</w:t>
            </w:r>
          </w:p>
        </w:tc>
      </w:tr>
      <w:tr w:rsidR="00AE3238" w:rsidRPr="00DC3CEB" w:rsidTr="00954A74">
        <w:trPr>
          <w:trHeight w:val="494"/>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AE3238" w:rsidRPr="00E06B41" w:rsidRDefault="00AE3238" w:rsidP="00954A74">
            <w:pPr>
              <w:rPr>
                <w:rFonts w:eastAsia="Times New Roman" w:cs="Times New Roman"/>
                <w:color w:val="000000"/>
              </w:rPr>
            </w:pPr>
            <w:r w:rsidRPr="00E06B41">
              <w:rPr>
                <w:rFonts w:eastAsia="Times New Roman" w:cs="Times New Roman"/>
                <w:color w:val="000000"/>
              </w:rPr>
              <w:t>İnşaat Sektörü Güven Endeksi</w:t>
            </w:r>
          </w:p>
        </w:tc>
        <w:tc>
          <w:tcPr>
            <w:tcW w:w="1224" w:type="dxa"/>
            <w:noWrap/>
            <w:vAlign w:val="center"/>
          </w:tcPr>
          <w:p w:rsidR="00AE3238" w:rsidRPr="004553BD" w:rsidRDefault="00AE3238" w:rsidP="00954A74">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Cs w:val="24"/>
              </w:rPr>
            </w:pPr>
            <w:r w:rsidRPr="004553BD">
              <w:rPr>
                <w:rFonts w:cs="Times New Roman"/>
                <w:b/>
                <w:color w:val="auto"/>
                <w:szCs w:val="24"/>
              </w:rPr>
              <w:t>49</w:t>
            </w:r>
            <w:r>
              <w:rPr>
                <w:rFonts w:cs="Times New Roman"/>
                <w:b/>
                <w:color w:val="auto"/>
                <w:szCs w:val="24"/>
              </w:rPr>
              <w:t>,</w:t>
            </w:r>
            <w:r w:rsidRPr="004553BD">
              <w:rPr>
                <w:rFonts w:cs="Times New Roman"/>
                <w:b/>
                <w:color w:val="auto"/>
                <w:szCs w:val="24"/>
              </w:rPr>
              <w:t>8</w:t>
            </w:r>
          </w:p>
        </w:tc>
        <w:tc>
          <w:tcPr>
            <w:tcW w:w="1328" w:type="dxa"/>
            <w:noWrap/>
            <w:vAlign w:val="center"/>
          </w:tcPr>
          <w:p w:rsidR="00AE3238" w:rsidRPr="004553BD" w:rsidRDefault="00AE3238" w:rsidP="00954A74">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Cs w:val="24"/>
              </w:rPr>
            </w:pPr>
            <w:r>
              <w:rPr>
                <w:rFonts w:cs="Times New Roman"/>
                <w:b/>
                <w:color w:val="auto"/>
                <w:szCs w:val="24"/>
              </w:rPr>
              <w:t>50,4</w:t>
            </w:r>
          </w:p>
        </w:tc>
      </w:tr>
      <w:tr w:rsidR="00AE3238" w:rsidRPr="00DC3CEB" w:rsidTr="00954A7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890" w:type="dxa"/>
            <w:vAlign w:val="center"/>
            <w:hideMark/>
          </w:tcPr>
          <w:p w:rsidR="00AE3238" w:rsidRPr="00E06B41" w:rsidRDefault="00AE3238" w:rsidP="00954A74">
            <w:pPr>
              <w:rPr>
                <w:rFonts w:eastAsia="Times New Roman" w:cs="Times New Roman"/>
                <w:b w:val="0"/>
                <w:color w:val="000000"/>
              </w:rPr>
            </w:pPr>
            <w:r w:rsidRPr="00E06B41">
              <w:rPr>
                <w:rFonts w:eastAsia="Times New Roman" w:cs="Times New Roman"/>
                <w:b w:val="0"/>
                <w:color w:val="000000"/>
              </w:rPr>
              <w:t>Alınan kayıtlı siparişlerin mevcut düzeyi</w:t>
            </w:r>
          </w:p>
        </w:tc>
        <w:tc>
          <w:tcPr>
            <w:tcW w:w="1224" w:type="dxa"/>
            <w:noWrap/>
            <w:vAlign w:val="center"/>
          </w:tcPr>
          <w:p w:rsidR="00AE3238" w:rsidRPr="004553BD" w:rsidRDefault="00AE3238" w:rsidP="00954A74">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Pr>
                <w:rFonts w:cs="Times New Roman"/>
                <w:color w:val="auto"/>
                <w:szCs w:val="24"/>
              </w:rPr>
              <w:t>38,</w:t>
            </w:r>
            <w:r w:rsidRPr="004553BD">
              <w:rPr>
                <w:rFonts w:cs="Times New Roman"/>
                <w:color w:val="auto"/>
                <w:szCs w:val="24"/>
              </w:rPr>
              <w:t>4</w:t>
            </w:r>
          </w:p>
        </w:tc>
        <w:tc>
          <w:tcPr>
            <w:tcW w:w="1328" w:type="dxa"/>
            <w:noWrap/>
            <w:vAlign w:val="center"/>
          </w:tcPr>
          <w:p w:rsidR="00AE3238" w:rsidRPr="004553BD" w:rsidRDefault="00AE3238" w:rsidP="00954A74">
            <w:pPr>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4553BD">
              <w:rPr>
                <w:rFonts w:cs="Times New Roman"/>
                <w:color w:val="auto"/>
                <w:szCs w:val="24"/>
              </w:rPr>
              <w:t>3</w:t>
            </w:r>
            <w:r>
              <w:rPr>
                <w:rFonts w:cs="Times New Roman"/>
                <w:color w:val="auto"/>
                <w:szCs w:val="24"/>
              </w:rPr>
              <w:t>7,3</w:t>
            </w:r>
          </w:p>
        </w:tc>
      </w:tr>
      <w:tr w:rsidR="00AE3238" w:rsidRPr="00DC3CEB" w:rsidTr="00954A74">
        <w:trPr>
          <w:trHeight w:val="669"/>
        </w:trPr>
        <w:tc>
          <w:tcPr>
            <w:cnfStyle w:val="001000000000" w:firstRow="0" w:lastRow="0" w:firstColumn="1" w:lastColumn="0" w:oddVBand="0" w:evenVBand="0" w:oddHBand="0" w:evenHBand="0" w:firstRowFirstColumn="0" w:firstRowLastColumn="0" w:lastRowFirstColumn="0" w:lastRowLastColumn="0"/>
            <w:tcW w:w="6890" w:type="dxa"/>
            <w:noWrap/>
            <w:vAlign w:val="center"/>
            <w:hideMark/>
          </w:tcPr>
          <w:p w:rsidR="00AE3238" w:rsidRPr="00E06B41" w:rsidRDefault="00AE3238" w:rsidP="00954A74">
            <w:pPr>
              <w:rPr>
                <w:rFonts w:eastAsia="Times New Roman" w:cs="Times New Roman"/>
                <w:b w:val="0"/>
                <w:color w:val="000000"/>
              </w:rPr>
            </w:pPr>
            <w:r w:rsidRPr="00E06B41">
              <w:rPr>
                <w:rFonts w:eastAsia="Times New Roman" w:cs="Times New Roman"/>
                <w:b w:val="0"/>
                <w:color w:val="000000"/>
              </w:rPr>
              <w:t>Toplam çalışan sayısı beklentisi (gelecek 3 aylık dönemde)</w:t>
            </w:r>
          </w:p>
        </w:tc>
        <w:tc>
          <w:tcPr>
            <w:tcW w:w="1224" w:type="dxa"/>
            <w:noWrap/>
            <w:vAlign w:val="center"/>
          </w:tcPr>
          <w:p w:rsidR="00AE3238" w:rsidRPr="004553BD" w:rsidRDefault="00AE3238" w:rsidP="00954A74">
            <w:pPr>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4553BD">
              <w:rPr>
                <w:rFonts w:cs="Times New Roman"/>
                <w:color w:val="auto"/>
                <w:szCs w:val="24"/>
              </w:rPr>
              <w:t>61</w:t>
            </w:r>
            <w:r>
              <w:rPr>
                <w:rFonts w:cs="Times New Roman"/>
                <w:color w:val="auto"/>
                <w:szCs w:val="24"/>
              </w:rPr>
              <w:t>,</w:t>
            </w:r>
            <w:r w:rsidRPr="004553BD">
              <w:rPr>
                <w:rFonts w:cs="Times New Roman"/>
                <w:color w:val="auto"/>
                <w:szCs w:val="24"/>
              </w:rPr>
              <w:t>2</w:t>
            </w:r>
          </w:p>
        </w:tc>
        <w:tc>
          <w:tcPr>
            <w:tcW w:w="1328" w:type="dxa"/>
            <w:noWrap/>
            <w:vAlign w:val="center"/>
          </w:tcPr>
          <w:p w:rsidR="00AE3238" w:rsidRPr="004553BD" w:rsidRDefault="00AE3238" w:rsidP="00954A74">
            <w:pPr>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4553BD">
              <w:rPr>
                <w:rFonts w:cs="Times New Roman"/>
                <w:color w:val="auto"/>
                <w:szCs w:val="24"/>
              </w:rPr>
              <w:t>6</w:t>
            </w:r>
            <w:r>
              <w:rPr>
                <w:rFonts w:cs="Times New Roman"/>
                <w:color w:val="auto"/>
                <w:szCs w:val="24"/>
              </w:rPr>
              <w:t>3,6</w:t>
            </w:r>
          </w:p>
        </w:tc>
      </w:tr>
    </w:tbl>
    <w:p w:rsidR="00AE3238" w:rsidRPr="00E15504" w:rsidRDefault="00AE3238" w:rsidP="00AE3238">
      <w:pPr>
        <w:pStyle w:val="Balk2"/>
      </w:pPr>
      <w:r w:rsidRPr="00E15504">
        <w:t>Hizmet sektörü güven endeksi</w:t>
      </w:r>
    </w:p>
    <w:p w:rsidR="00AE3238" w:rsidRDefault="00AE3238" w:rsidP="00AE3238">
      <w:r>
        <w:t xml:space="preserve">2019 Haziran </w:t>
      </w:r>
      <w:r w:rsidRPr="002B5EAF">
        <w:t xml:space="preserve">ayı mevsimlikten arındırılmış hizmet sektörü güven endeksi incelendiğinde </w:t>
      </w:r>
      <w:r>
        <w:t xml:space="preserve">(Şekil 2), 2018 yılı Haziran ayına göre yüzde 6,4 oranında azalış gösterdiği (5,8 puan) ve 85,4 </w:t>
      </w:r>
      <w:r w:rsidRPr="002B5EAF">
        <w:t xml:space="preserve">puana </w:t>
      </w:r>
      <w:r>
        <w:t>düştüğü</w:t>
      </w:r>
      <w:r w:rsidRPr="002B5EAF">
        <w:t xml:space="preserve"> göze çarpmaktadır.</w:t>
      </w:r>
      <w:r>
        <w:t xml:space="preserve"> </w:t>
      </w:r>
      <w:r w:rsidRPr="002B5EAF">
        <w:t>201</w:t>
      </w:r>
      <w:r>
        <w:t>9</w:t>
      </w:r>
      <w:r w:rsidRPr="002B5EAF">
        <w:t xml:space="preserve"> yılı </w:t>
      </w:r>
      <w:r>
        <w:t>Mayıs</w:t>
      </w:r>
      <w:r w:rsidRPr="002B5EAF">
        <w:t xml:space="preserve"> </w:t>
      </w:r>
      <w:r>
        <w:t xml:space="preserve">ayına göre bakıldığında ise yüzde 7,5 </w:t>
      </w:r>
      <w:r w:rsidRPr="002B5EAF">
        <w:t xml:space="preserve">oranında </w:t>
      </w:r>
      <w:r>
        <w:t>arttığı (6,0</w:t>
      </w:r>
      <w:r w:rsidRPr="002B5EAF">
        <w:t xml:space="preserve"> puan) görülmektedir. </w:t>
      </w:r>
    </w:p>
    <w:p w:rsidR="00AE3238" w:rsidRDefault="00AE3238" w:rsidP="00AE3238">
      <w:r w:rsidRPr="002B5EAF">
        <w:t xml:space="preserve">Mevsimlikten arındırılmamış </w:t>
      </w:r>
      <w:r>
        <w:t>endeks ise, 2019 yılının Mayıs ayına göre yüzde 7,6</w:t>
      </w:r>
      <w:r w:rsidRPr="002B5EAF">
        <w:t xml:space="preserve"> oranında </w:t>
      </w:r>
      <w:r>
        <w:t>artarak (6,6 puan) 93,3 olurken, 2018</w:t>
      </w:r>
      <w:r w:rsidRPr="002B5EAF">
        <w:t xml:space="preserve"> yılı </w:t>
      </w:r>
      <w:r>
        <w:t xml:space="preserve">Haziran </w:t>
      </w:r>
      <w:r w:rsidRPr="002B5EAF">
        <w:t>ayı</w:t>
      </w:r>
      <w:r>
        <w:t xml:space="preserve">na göre yüzde 2,9 oranında (2,8 </w:t>
      </w:r>
      <w:r w:rsidRPr="002B5EAF">
        <w:t>puan)</w:t>
      </w:r>
      <w:r>
        <w:t xml:space="preserve"> azalmıştır</w:t>
      </w:r>
      <w:r w:rsidRPr="002B5EAF">
        <w:t>.</w:t>
      </w:r>
    </w:p>
    <w:p w:rsidR="00AE3238" w:rsidRPr="00AE3238" w:rsidRDefault="00AE3238" w:rsidP="00AE3238">
      <w:pPr>
        <w:pStyle w:val="Balk2"/>
        <w:rPr>
          <w:sz w:val="22"/>
          <w:szCs w:val="22"/>
        </w:rPr>
      </w:pPr>
      <w:r w:rsidRPr="00AE3238">
        <w:rPr>
          <w:sz w:val="22"/>
          <w:szCs w:val="22"/>
        </w:rPr>
        <w:t>Şekil 2: Hizmet Sektörü Güven Endeksi (Haziran 2018 – Haziran 2019)</w:t>
      </w:r>
    </w:p>
    <w:p w:rsidR="00AE3238" w:rsidRPr="002B5EAF" w:rsidRDefault="00AE3238" w:rsidP="00AE3238">
      <w:pPr>
        <w:rPr>
          <w:rFonts w:cs="Times New Roman"/>
        </w:rPr>
      </w:pPr>
      <w:r w:rsidRPr="00287BD1">
        <w:rPr>
          <w:noProof/>
        </w:rPr>
        <w:drawing>
          <wp:inline distT="0" distB="0" distL="0" distR="0" wp14:anchorId="26FBB8B7" wp14:editId="21EA042C">
            <wp:extent cx="5760720" cy="2407465"/>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2407465"/>
                    </a:xfrm>
                    <a:prstGeom prst="rect">
                      <a:avLst/>
                    </a:prstGeom>
                    <a:noFill/>
                    <a:ln>
                      <a:noFill/>
                    </a:ln>
                  </pic:spPr>
                </pic:pic>
              </a:graphicData>
            </a:graphic>
          </wp:inline>
        </w:drawing>
      </w:r>
    </w:p>
    <w:p w:rsidR="00AE3238" w:rsidRDefault="00AE3238" w:rsidP="00AE3238">
      <w:r>
        <w:t>Mevsim etkilerinden arındırılmış hizmet sektörü güven endeksinin oluştuğu alt kalemler incelendiğinde (Tablo 2), Mayıs 2019’da 75,1 puan olan iş durumunun, Haziran 2019’da yüzde 8,7 oranında (6,5 puan) artarak 81,6 puan olduğu görülmektedir. Hizmet sektörünün diğer bir alt kalemi olan hizmetlere olan talep Haziran 2019’de bir önceki aya göre 5,9 puan artmış ve 79,1 puan olmuştur. Mayıs 2019’da 90,0 puan olan gelecek 3 aylık dönem için hizmetlere olan talep beklentisi ise, Haziran 2019’da yüzde 6,2 artmış ve 95,6 puan olmuştur.</w:t>
      </w:r>
    </w:p>
    <w:p w:rsidR="00B001A2" w:rsidRPr="00B001A2" w:rsidRDefault="00B001A2" w:rsidP="00B001A2">
      <w:pPr>
        <w:pStyle w:val="Grafik"/>
        <w:rPr>
          <w:sz w:val="22"/>
        </w:rPr>
      </w:pPr>
      <w:r w:rsidRPr="00B001A2">
        <w:rPr>
          <w:sz w:val="22"/>
        </w:rPr>
        <w:t xml:space="preserve">Tablo </w:t>
      </w:r>
      <w:r w:rsidRPr="00B001A2">
        <w:rPr>
          <w:sz w:val="22"/>
        </w:rPr>
        <w:fldChar w:fldCharType="begin"/>
      </w:r>
      <w:r w:rsidRPr="00B001A2">
        <w:rPr>
          <w:sz w:val="22"/>
        </w:rPr>
        <w:instrText xml:space="preserve"> SEQ Tablo \* ARABIC </w:instrText>
      </w:r>
      <w:r w:rsidRPr="00B001A2">
        <w:rPr>
          <w:sz w:val="22"/>
        </w:rPr>
        <w:fldChar w:fldCharType="separate"/>
      </w:r>
      <w:r w:rsidRPr="00B001A2">
        <w:rPr>
          <w:noProof/>
          <w:sz w:val="22"/>
        </w:rPr>
        <w:t>2</w:t>
      </w:r>
      <w:r w:rsidRPr="00B001A2">
        <w:rPr>
          <w:noProof/>
          <w:sz w:val="22"/>
        </w:rPr>
        <w:fldChar w:fldCharType="end"/>
      </w:r>
      <w:r w:rsidRPr="00B001A2">
        <w:rPr>
          <w:sz w:val="22"/>
        </w:rPr>
        <w:t>: Hizmet sektörü güven endeksi alt bileşenleri (Nisan 2019 – Mayıs 2019)</w:t>
      </w:r>
    </w:p>
    <w:tbl>
      <w:tblPr>
        <w:tblStyle w:val="AkGlgeleme-Vurgu11"/>
        <w:tblW w:w="9026" w:type="dxa"/>
        <w:tblLook w:val="04A0" w:firstRow="1" w:lastRow="0" w:firstColumn="1" w:lastColumn="0" w:noHBand="0" w:noVBand="1"/>
      </w:tblPr>
      <w:tblGrid>
        <w:gridCol w:w="6416"/>
        <w:gridCol w:w="1252"/>
        <w:gridCol w:w="1358"/>
      </w:tblGrid>
      <w:tr w:rsidR="00B001A2" w:rsidRPr="00F73F8D" w:rsidTr="00954A74">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B001A2" w:rsidRPr="00F73F8D" w:rsidRDefault="00B001A2" w:rsidP="00954A74">
            <w:pPr>
              <w:rPr>
                <w:rFonts w:ascii="Calibri" w:eastAsia="Times New Roman" w:hAnsi="Calibri" w:cs="Times New Roman"/>
                <w:color w:val="000000"/>
              </w:rPr>
            </w:pPr>
          </w:p>
        </w:tc>
        <w:tc>
          <w:tcPr>
            <w:tcW w:w="2610" w:type="dxa"/>
            <w:gridSpan w:val="2"/>
            <w:noWrap/>
            <w:hideMark/>
          </w:tcPr>
          <w:p w:rsidR="00B001A2" w:rsidRPr="00E06B41" w:rsidRDefault="00B001A2" w:rsidP="00954A7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06B41">
              <w:rPr>
                <w:rFonts w:eastAsia="Times New Roman" w:cs="Times New Roman"/>
                <w:color w:val="000000"/>
              </w:rPr>
              <w:t>Endeks</w:t>
            </w:r>
          </w:p>
        </w:tc>
      </w:tr>
      <w:tr w:rsidR="00B001A2" w:rsidRPr="00F73F8D" w:rsidTr="00954A7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B001A2" w:rsidRPr="00E06B41" w:rsidRDefault="00B001A2" w:rsidP="00954A74">
            <w:pPr>
              <w:rPr>
                <w:rFonts w:eastAsia="Times New Roman" w:cs="Times New Roman"/>
                <w:color w:val="000000"/>
              </w:rPr>
            </w:pPr>
          </w:p>
        </w:tc>
        <w:tc>
          <w:tcPr>
            <w:tcW w:w="1252" w:type="dxa"/>
            <w:noWrap/>
          </w:tcPr>
          <w:p w:rsidR="00B001A2" w:rsidRPr="00E06B41" w:rsidRDefault="00B001A2" w:rsidP="00954A7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May</w:t>
            </w:r>
            <w:r w:rsidRPr="00E06B41">
              <w:rPr>
                <w:rFonts w:eastAsia="Times New Roman" w:cs="Times New Roman"/>
                <w:b/>
                <w:color w:val="000000"/>
              </w:rPr>
              <w:t>. 1</w:t>
            </w:r>
            <w:r>
              <w:rPr>
                <w:rFonts w:eastAsia="Times New Roman" w:cs="Times New Roman"/>
                <w:b/>
                <w:color w:val="000000"/>
              </w:rPr>
              <w:t>9</w:t>
            </w:r>
          </w:p>
        </w:tc>
        <w:tc>
          <w:tcPr>
            <w:tcW w:w="1358" w:type="dxa"/>
            <w:noWrap/>
          </w:tcPr>
          <w:p w:rsidR="00B001A2" w:rsidRPr="00E06B41" w:rsidRDefault="00B001A2" w:rsidP="00954A7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rPr>
            </w:pPr>
            <w:r>
              <w:rPr>
                <w:rFonts w:eastAsia="Times New Roman" w:cs="Times New Roman"/>
                <w:b/>
                <w:color w:val="000000"/>
              </w:rPr>
              <w:t>Haz</w:t>
            </w:r>
            <w:r w:rsidRPr="00E06B41">
              <w:rPr>
                <w:rFonts w:eastAsia="Times New Roman" w:cs="Times New Roman"/>
                <w:b/>
                <w:color w:val="000000"/>
              </w:rPr>
              <w:t>. 1</w:t>
            </w:r>
            <w:r>
              <w:rPr>
                <w:rFonts w:eastAsia="Times New Roman" w:cs="Times New Roman"/>
                <w:b/>
                <w:color w:val="000000"/>
              </w:rPr>
              <w:t>9</w:t>
            </w:r>
          </w:p>
        </w:tc>
      </w:tr>
      <w:tr w:rsidR="00B001A2" w:rsidRPr="003F4934" w:rsidTr="00954A74">
        <w:trPr>
          <w:trHeight w:val="485"/>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B001A2" w:rsidRPr="00E06B41" w:rsidRDefault="00B001A2" w:rsidP="00954A74">
            <w:pPr>
              <w:rPr>
                <w:rFonts w:eastAsia="Times New Roman" w:cs="Times New Roman"/>
                <w:color w:val="000000"/>
              </w:rPr>
            </w:pPr>
            <w:r w:rsidRPr="00E06B41">
              <w:rPr>
                <w:rFonts w:eastAsia="Times New Roman" w:cs="Times New Roman"/>
                <w:color w:val="000000"/>
              </w:rPr>
              <w:t>Hizmet Sektörü Güven Endeksi</w:t>
            </w:r>
          </w:p>
        </w:tc>
        <w:tc>
          <w:tcPr>
            <w:tcW w:w="1252" w:type="dxa"/>
            <w:noWrap/>
            <w:vAlign w:val="center"/>
          </w:tcPr>
          <w:p w:rsidR="00B001A2" w:rsidRPr="00140437" w:rsidRDefault="00B001A2" w:rsidP="00954A74">
            <w:pPr>
              <w:jc w:val="center"/>
              <w:cnfStyle w:val="000000000000" w:firstRow="0" w:lastRow="0" w:firstColumn="0" w:lastColumn="0" w:oddVBand="0" w:evenVBand="0" w:oddHBand="0" w:evenHBand="0" w:firstRowFirstColumn="0" w:firstRowLastColumn="0" w:lastRowFirstColumn="0" w:lastRowLastColumn="0"/>
              <w:rPr>
                <w:b/>
                <w:color w:val="auto"/>
              </w:rPr>
            </w:pPr>
            <w:r w:rsidRPr="00140437">
              <w:rPr>
                <w:b/>
                <w:color w:val="auto"/>
              </w:rPr>
              <w:t>79</w:t>
            </w:r>
            <w:r>
              <w:rPr>
                <w:b/>
                <w:color w:val="auto"/>
              </w:rPr>
              <w:t>,</w:t>
            </w:r>
            <w:r w:rsidRPr="00140437">
              <w:rPr>
                <w:b/>
                <w:color w:val="auto"/>
              </w:rPr>
              <w:t>4</w:t>
            </w:r>
          </w:p>
        </w:tc>
        <w:tc>
          <w:tcPr>
            <w:tcW w:w="1358" w:type="dxa"/>
            <w:noWrap/>
            <w:vAlign w:val="center"/>
          </w:tcPr>
          <w:p w:rsidR="00B001A2" w:rsidRPr="00140437" w:rsidRDefault="00B001A2" w:rsidP="00954A74">
            <w:pPr>
              <w:jc w:val="center"/>
              <w:cnfStyle w:val="000000000000" w:firstRow="0" w:lastRow="0" w:firstColumn="0" w:lastColumn="0" w:oddVBand="0" w:evenVBand="0" w:oddHBand="0" w:evenHBand="0" w:firstRowFirstColumn="0" w:firstRowLastColumn="0" w:lastRowFirstColumn="0" w:lastRowLastColumn="0"/>
              <w:rPr>
                <w:b/>
                <w:color w:val="auto"/>
              </w:rPr>
            </w:pPr>
            <w:r>
              <w:rPr>
                <w:b/>
                <w:color w:val="auto"/>
              </w:rPr>
              <w:t>85,</w:t>
            </w:r>
            <w:r w:rsidRPr="00140437">
              <w:rPr>
                <w:b/>
                <w:color w:val="auto"/>
              </w:rPr>
              <w:t>4</w:t>
            </w:r>
          </w:p>
        </w:tc>
      </w:tr>
      <w:tr w:rsidR="00B001A2" w:rsidRPr="00F73F8D" w:rsidTr="00954A7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B001A2" w:rsidRPr="00E06B41" w:rsidRDefault="00B001A2" w:rsidP="00954A74">
            <w:pPr>
              <w:rPr>
                <w:rFonts w:eastAsia="Times New Roman" w:cs="Times New Roman"/>
                <w:b w:val="0"/>
                <w:color w:val="000000"/>
              </w:rPr>
            </w:pPr>
            <w:r w:rsidRPr="00E06B41">
              <w:rPr>
                <w:rFonts w:eastAsia="Times New Roman" w:cs="Times New Roman"/>
                <w:b w:val="0"/>
                <w:color w:val="000000"/>
              </w:rPr>
              <w:t>İş Durumu (Son 3 aylık dönemde)</w:t>
            </w:r>
          </w:p>
        </w:tc>
        <w:tc>
          <w:tcPr>
            <w:tcW w:w="1252" w:type="dxa"/>
            <w:noWrap/>
            <w:vAlign w:val="center"/>
          </w:tcPr>
          <w:p w:rsidR="00B001A2" w:rsidRPr="00140437" w:rsidRDefault="00B001A2" w:rsidP="00954A74">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75,</w:t>
            </w:r>
            <w:r w:rsidRPr="00140437">
              <w:rPr>
                <w:color w:val="auto"/>
              </w:rPr>
              <w:t>1</w:t>
            </w:r>
          </w:p>
        </w:tc>
        <w:tc>
          <w:tcPr>
            <w:tcW w:w="1358" w:type="dxa"/>
            <w:noWrap/>
            <w:vAlign w:val="center"/>
          </w:tcPr>
          <w:p w:rsidR="00B001A2" w:rsidRPr="00140437" w:rsidRDefault="00B001A2" w:rsidP="00954A74">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8</w:t>
            </w:r>
            <w:r w:rsidRPr="00140437">
              <w:rPr>
                <w:color w:val="auto"/>
              </w:rPr>
              <w:t>1</w:t>
            </w:r>
            <w:r>
              <w:rPr>
                <w:color w:val="auto"/>
              </w:rPr>
              <w:t>,6</w:t>
            </w:r>
          </w:p>
        </w:tc>
      </w:tr>
      <w:tr w:rsidR="00B001A2" w:rsidRPr="00F73F8D" w:rsidTr="00954A74">
        <w:trPr>
          <w:trHeight w:val="657"/>
        </w:trPr>
        <w:tc>
          <w:tcPr>
            <w:cnfStyle w:val="001000000000" w:firstRow="0" w:lastRow="0" w:firstColumn="1" w:lastColumn="0" w:oddVBand="0" w:evenVBand="0" w:oddHBand="0" w:evenHBand="0" w:firstRowFirstColumn="0" w:firstRowLastColumn="0" w:lastRowFirstColumn="0" w:lastRowLastColumn="0"/>
            <w:tcW w:w="6416" w:type="dxa"/>
            <w:noWrap/>
            <w:vAlign w:val="center"/>
            <w:hideMark/>
          </w:tcPr>
          <w:p w:rsidR="00B001A2" w:rsidRPr="00E06B41" w:rsidRDefault="00B001A2" w:rsidP="00954A74">
            <w:pPr>
              <w:rPr>
                <w:rFonts w:eastAsia="Times New Roman" w:cs="Times New Roman"/>
                <w:b w:val="0"/>
                <w:color w:val="000000"/>
              </w:rPr>
            </w:pPr>
            <w:r w:rsidRPr="00E06B41">
              <w:rPr>
                <w:rFonts w:eastAsia="Times New Roman" w:cs="Times New Roman"/>
                <w:b w:val="0"/>
                <w:color w:val="000000"/>
              </w:rPr>
              <w:t>Hizmetlere olan talep (son 3 aylık dönemde)</w:t>
            </w:r>
          </w:p>
        </w:tc>
        <w:tc>
          <w:tcPr>
            <w:tcW w:w="1252" w:type="dxa"/>
            <w:noWrap/>
            <w:vAlign w:val="center"/>
          </w:tcPr>
          <w:p w:rsidR="00B001A2" w:rsidRPr="00140437" w:rsidRDefault="00B001A2" w:rsidP="00954A74">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73,</w:t>
            </w:r>
            <w:r w:rsidRPr="00140437">
              <w:rPr>
                <w:color w:val="auto"/>
              </w:rPr>
              <w:t>2</w:t>
            </w:r>
          </w:p>
        </w:tc>
        <w:tc>
          <w:tcPr>
            <w:tcW w:w="1358" w:type="dxa"/>
            <w:noWrap/>
            <w:vAlign w:val="center"/>
          </w:tcPr>
          <w:p w:rsidR="00B001A2" w:rsidRPr="00140437" w:rsidRDefault="00B001A2" w:rsidP="00954A74">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79,1</w:t>
            </w:r>
          </w:p>
        </w:tc>
      </w:tr>
      <w:tr w:rsidR="00B001A2" w:rsidRPr="00F73F8D" w:rsidTr="00954A7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416" w:type="dxa"/>
            <w:vAlign w:val="center"/>
            <w:hideMark/>
          </w:tcPr>
          <w:p w:rsidR="00B001A2" w:rsidRPr="00E06B41" w:rsidRDefault="00B001A2" w:rsidP="00954A74">
            <w:pPr>
              <w:rPr>
                <w:rFonts w:eastAsia="Times New Roman" w:cs="Times New Roman"/>
                <w:b w:val="0"/>
                <w:color w:val="000000"/>
              </w:rPr>
            </w:pPr>
            <w:r w:rsidRPr="00E06B41">
              <w:rPr>
                <w:rFonts w:eastAsia="Times New Roman" w:cs="Times New Roman"/>
                <w:b w:val="0"/>
                <w:color w:val="000000"/>
              </w:rPr>
              <w:t>Hizmetlere olan talep beklentisi (gelecek 3 aylık dönemde)</w:t>
            </w:r>
          </w:p>
        </w:tc>
        <w:tc>
          <w:tcPr>
            <w:tcW w:w="1252" w:type="dxa"/>
            <w:noWrap/>
            <w:vAlign w:val="center"/>
          </w:tcPr>
          <w:p w:rsidR="00B001A2" w:rsidRPr="00140437" w:rsidRDefault="00B001A2" w:rsidP="00954A74">
            <w:pPr>
              <w:jc w:val="center"/>
              <w:cnfStyle w:val="000000100000" w:firstRow="0" w:lastRow="0" w:firstColumn="0" w:lastColumn="0" w:oddVBand="0" w:evenVBand="0" w:oddHBand="1" w:evenHBand="0" w:firstRowFirstColumn="0" w:firstRowLastColumn="0" w:lastRowFirstColumn="0" w:lastRowLastColumn="0"/>
              <w:rPr>
                <w:color w:val="auto"/>
              </w:rPr>
            </w:pPr>
            <w:r w:rsidRPr="00140437">
              <w:rPr>
                <w:color w:val="auto"/>
              </w:rPr>
              <w:t>90</w:t>
            </w:r>
            <w:r>
              <w:rPr>
                <w:color w:val="auto"/>
              </w:rPr>
              <w:t>,0</w:t>
            </w:r>
          </w:p>
        </w:tc>
        <w:tc>
          <w:tcPr>
            <w:tcW w:w="1358" w:type="dxa"/>
            <w:noWrap/>
            <w:vAlign w:val="center"/>
          </w:tcPr>
          <w:p w:rsidR="00B001A2" w:rsidRPr="00140437" w:rsidRDefault="00B001A2" w:rsidP="00954A74">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95,6</w:t>
            </w:r>
          </w:p>
        </w:tc>
      </w:tr>
    </w:tbl>
    <w:p w:rsidR="00AE3238" w:rsidRDefault="00AE3238" w:rsidP="00AF1F9F"/>
    <w:p w:rsidR="00AF1F9F" w:rsidRPr="0083541E" w:rsidRDefault="00AF1F9F" w:rsidP="00C74CBA">
      <w:pPr>
        <w:rPr>
          <w:rFonts w:ascii="Times New Roman" w:hAnsi="Times New Roman" w:cs="Times New Roman"/>
          <w:b/>
          <w:sz w:val="20"/>
          <w:szCs w:val="20"/>
        </w:rPr>
      </w:pPr>
    </w:p>
    <w:sectPr w:rsidR="00AF1F9F" w:rsidRPr="0083541E" w:rsidSect="00E00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00" w:rsidRDefault="000A2B00" w:rsidP="00703A47">
      <w:pPr>
        <w:spacing w:after="0" w:line="240" w:lineRule="auto"/>
      </w:pPr>
      <w:r>
        <w:separator/>
      </w:r>
    </w:p>
  </w:endnote>
  <w:endnote w:type="continuationSeparator" w:id="0">
    <w:p w:rsidR="000A2B00" w:rsidRDefault="000A2B00" w:rsidP="0070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00" w:rsidRDefault="000A2B00" w:rsidP="00703A47">
      <w:pPr>
        <w:spacing w:after="0" w:line="240" w:lineRule="auto"/>
      </w:pPr>
      <w:r>
        <w:separator/>
      </w:r>
    </w:p>
  </w:footnote>
  <w:footnote w:type="continuationSeparator" w:id="0">
    <w:p w:rsidR="000A2B00" w:rsidRDefault="000A2B00" w:rsidP="00703A47">
      <w:pPr>
        <w:spacing w:after="0" w:line="240" w:lineRule="auto"/>
      </w:pPr>
      <w:r>
        <w:continuationSeparator/>
      </w:r>
    </w:p>
  </w:footnote>
  <w:footnote w:id="1">
    <w:p w:rsidR="001D1AD8" w:rsidRDefault="001D1AD8" w:rsidP="001D1AD8">
      <w:pPr>
        <w:pStyle w:val="DipnotMetni"/>
      </w:pPr>
      <w:r>
        <w:rPr>
          <w:rStyle w:val="DipnotBavurusu"/>
        </w:rPr>
        <w:footnoteRef/>
      </w:r>
      <w:r>
        <w:t xml:space="preserve"> </w:t>
      </w:r>
      <w:r w:rsidRPr="00EC1844">
        <w:rPr>
          <w:rFonts w:ascii="Times New Roman" w:hAnsi="Times New Roman"/>
        </w:rPr>
        <w:t>TCMB</w:t>
      </w:r>
      <w:r>
        <w:rPr>
          <w:rFonts w:ascii="Times New Roman" w:hAnsi="Times New Roman"/>
        </w:rPr>
        <w:t>,</w:t>
      </w:r>
      <w:r w:rsidRPr="00EC1844">
        <w:rPr>
          <w:rFonts w:ascii="Times New Roman" w:hAnsi="Times New Roman"/>
        </w:rPr>
        <w:t xml:space="preserve"> her</w:t>
      </w:r>
      <w:r>
        <w:rPr>
          <w:rFonts w:ascii="Times New Roman" w:hAnsi="Times New Roman"/>
        </w:rPr>
        <w:t xml:space="preserve"> ay verileri geçmişe dönük</w:t>
      </w:r>
      <w:r w:rsidRPr="00EC1844">
        <w:rPr>
          <w:rFonts w:ascii="Times New Roman" w:hAnsi="Times New Roman"/>
        </w:rPr>
        <w:t xml:space="preserve"> revize ettiği için bilgi notlarında yer alan tablolardaki eski yıllara ait veriler farklılık gösterebilmektedir.</w:t>
      </w:r>
    </w:p>
  </w:footnote>
  <w:footnote w:id="2">
    <w:p w:rsidR="00F57480" w:rsidRDefault="00F57480" w:rsidP="00F57480">
      <w:pPr>
        <w:pStyle w:val="DipnotMetni"/>
      </w:pPr>
      <w:r>
        <w:rPr>
          <w:rStyle w:val="DipnotBavurusu"/>
        </w:rPr>
        <w:footnoteRef/>
      </w:r>
      <w:r>
        <w:t xml:space="preserve"> Bültende mevsim ve takvim etkilerinden arındırılmış veriler kullanılmaktadır.</w:t>
      </w:r>
    </w:p>
  </w:footnote>
  <w:footnote w:id="3">
    <w:p w:rsidR="00307DC2" w:rsidRDefault="00307DC2" w:rsidP="00307DC2">
      <w:pPr>
        <w:pStyle w:val="DipnotMetni"/>
      </w:pPr>
      <w:r>
        <w:rPr>
          <w:rStyle w:val="DipnotBavurusu"/>
        </w:rPr>
        <w:footnoteRef/>
      </w:r>
      <w:r>
        <w:t xml:space="preserve"> </w:t>
      </w:r>
      <w:r w:rsidRPr="00EC1844">
        <w:rPr>
          <w:rFonts w:ascii="Times New Roman" w:hAnsi="Times New Roman"/>
        </w:rPr>
        <w:t>TCMB</w:t>
      </w:r>
      <w:r>
        <w:rPr>
          <w:rFonts w:ascii="Times New Roman" w:hAnsi="Times New Roman"/>
        </w:rPr>
        <w:t>,</w:t>
      </w:r>
      <w:r w:rsidRPr="00EC1844">
        <w:rPr>
          <w:rFonts w:ascii="Times New Roman" w:hAnsi="Times New Roman"/>
        </w:rPr>
        <w:t xml:space="preserve"> her</w:t>
      </w:r>
      <w:r>
        <w:rPr>
          <w:rFonts w:ascii="Times New Roman" w:hAnsi="Times New Roman"/>
        </w:rPr>
        <w:t xml:space="preserve"> ay verileri geçmişe dönük</w:t>
      </w:r>
      <w:r w:rsidRPr="00EC1844">
        <w:rPr>
          <w:rFonts w:ascii="Times New Roman" w:hAnsi="Times New Roman"/>
        </w:rPr>
        <w:t xml:space="preserve"> revize ettiği için bilgi notlarında yer alan tablolardaki eski yıllara ait veril</w:t>
      </w:r>
      <w:r>
        <w:rPr>
          <w:rFonts w:ascii="Times New Roman" w:hAnsi="Times New Roman"/>
        </w:rPr>
        <w:t>er farklılık gösterebilmektedir.</w:t>
      </w:r>
    </w:p>
  </w:footnote>
  <w:footnote w:id="4">
    <w:p w:rsidR="00F21270" w:rsidRPr="000C0CAA" w:rsidRDefault="00F21270" w:rsidP="00F21270">
      <w:pPr>
        <w:pStyle w:val="DipnotMetni"/>
        <w:rPr>
          <w:sz w:val="22"/>
          <w:szCs w:val="22"/>
        </w:rPr>
      </w:pPr>
      <w:r w:rsidRPr="000C0CAA">
        <w:rPr>
          <w:rStyle w:val="DipnotBavurusu"/>
          <w:sz w:val="22"/>
          <w:szCs w:val="22"/>
        </w:rPr>
        <w:footnoteRef/>
      </w:r>
      <w:r w:rsidRPr="000C0CAA">
        <w:rPr>
          <w:sz w:val="22"/>
          <w:szCs w:val="22"/>
        </w:rPr>
        <w:t xml:space="preserve"> </w:t>
      </w:r>
      <w:r w:rsidRPr="000C0CAA">
        <w:rPr>
          <w:sz w:val="22"/>
        </w:rPr>
        <w:t>Bültendeki tablolar ve grafikler -aksi belirtilmediği- sürece mevsimsellikten arındırılmış serilere göre hazırlanmıştır.</w:t>
      </w:r>
    </w:p>
    <w:p w:rsidR="00F21270" w:rsidRDefault="00F21270" w:rsidP="00F21270">
      <w:pPr>
        <w:pStyle w:val="DipnotMetni"/>
      </w:pPr>
    </w:p>
  </w:footnote>
  <w:footnote w:id="5">
    <w:p w:rsidR="00F21270" w:rsidRPr="00F31BC3" w:rsidRDefault="00F21270" w:rsidP="00F21270">
      <w:pPr>
        <w:spacing w:after="0" w:line="240" w:lineRule="auto"/>
        <w:rPr>
          <w:rFonts w:cs="Arial"/>
          <w:szCs w:val="20"/>
        </w:rPr>
      </w:pPr>
      <w:r w:rsidRPr="00F31BC3">
        <w:rPr>
          <w:rStyle w:val="DipnotBavurusu"/>
          <w:rFonts w:cs="Arial"/>
          <w:b/>
          <w:sz w:val="24"/>
        </w:rPr>
        <w:footnoteRef/>
      </w:r>
      <w:r w:rsidRPr="00F31BC3">
        <w:rPr>
          <w:rFonts w:cs="Arial"/>
          <w:sz w:val="24"/>
        </w:rPr>
        <w:t xml:space="preserve"> </w:t>
      </w:r>
      <w:r w:rsidRPr="00F31BC3">
        <w:rPr>
          <w:rFonts w:cs="Arial"/>
          <w:szCs w:val="20"/>
        </w:rPr>
        <w:t>Stok düzeyinde pozitif değer stok düzeyinin normalin altında olduğunu ifade etmektedir.</w:t>
      </w:r>
    </w:p>
    <w:p w:rsidR="00F21270" w:rsidRPr="007F57A7" w:rsidRDefault="00F21270" w:rsidP="00F21270">
      <w:pPr>
        <w:spacing w:after="0" w:line="240" w:lineRule="auto"/>
        <w:rPr>
          <w:rFonts w:cs="Arial"/>
          <w:szCs w:val="20"/>
        </w:rPr>
      </w:pPr>
      <w:r w:rsidRPr="00F31BC3">
        <w:rPr>
          <w:rFonts w:cs="Arial"/>
          <w:b/>
          <w:sz w:val="24"/>
        </w:rPr>
        <w:t xml:space="preserve">  </w:t>
      </w:r>
      <w:r w:rsidRPr="00F31BC3">
        <w:rPr>
          <w:rFonts w:cs="Arial"/>
          <w:szCs w:val="20"/>
        </w:rPr>
        <w:t>Tablo-</w:t>
      </w:r>
      <w:r>
        <w:rPr>
          <w:rFonts w:cs="Arial"/>
          <w:szCs w:val="20"/>
        </w:rPr>
        <w:t>4’de</w:t>
      </w:r>
      <w:r w:rsidRPr="00F31BC3">
        <w:rPr>
          <w:rFonts w:cs="Arial"/>
          <w:szCs w:val="20"/>
        </w:rPr>
        <w:t>ki (-) değerler negatif beklentilerin pozitif beklentilerden fazla olduğunu ifade etmektedir.</w:t>
      </w:r>
    </w:p>
  </w:footnote>
  <w:footnote w:id="6">
    <w:p w:rsidR="00BF1293" w:rsidRDefault="00BF1293" w:rsidP="00BF1293">
      <w:pPr>
        <w:pStyle w:val="DipnotMetni"/>
      </w:pPr>
      <w:r>
        <w:rPr>
          <w:rStyle w:val="DipnotBavurusu"/>
        </w:rPr>
        <w:footnoteRef/>
      </w:r>
      <w:r>
        <w:t xml:space="preserve"> </w:t>
      </w:r>
      <w:r w:rsidRPr="00B17A67">
        <w:t xml:space="preserve">TÜİK Dönemsel Gayrisafi Yurt İçi </w:t>
      </w:r>
      <w:proofErr w:type="gramStart"/>
      <w:r w:rsidRPr="00B17A67">
        <w:t>Hasıla</w:t>
      </w:r>
      <w:proofErr w:type="gramEnd"/>
      <w:r w:rsidRPr="00B17A67">
        <w:t xml:space="preserve"> / hesaplama kuralları</w:t>
      </w:r>
    </w:p>
  </w:footnote>
  <w:footnote w:id="7">
    <w:p w:rsidR="00BF1293" w:rsidRDefault="00BF1293" w:rsidP="00BF1293">
      <w:pPr>
        <w:pStyle w:val="DipnotMetni"/>
      </w:pPr>
      <w:r>
        <w:rPr>
          <w:rStyle w:val="DipnotBavurusu"/>
        </w:rPr>
        <w:footnoteRef/>
      </w:r>
      <w:r>
        <w:t xml:space="preserve"> </w:t>
      </w:r>
      <w:proofErr w:type="spellStart"/>
      <w:r>
        <w:t>A.g.e</w:t>
      </w:r>
      <w:proofErr w:type="spellEnd"/>
    </w:p>
  </w:footnote>
  <w:footnote w:id="8">
    <w:p w:rsidR="00244AD5" w:rsidRDefault="00244AD5" w:rsidP="00244AD5">
      <w:pPr>
        <w:pStyle w:val="DipnotMetni"/>
      </w:pPr>
      <w:r>
        <w:rPr>
          <w:rStyle w:val="DipnotBavurusu"/>
        </w:rPr>
        <w:footnoteRef/>
      </w:r>
      <w:r>
        <w:t xml:space="preserve"> </w:t>
      </w:r>
      <w:r w:rsidRPr="00EC1844">
        <w:rPr>
          <w:rFonts w:ascii="Times New Roman" w:hAnsi="Times New Roman"/>
        </w:rPr>
        <w:t>TCMB</w:t>
      </w:r>
      <w:r>
        <w:rPr>
          <w:rFonts w:ascii="Times New Roman" w:hAnsi="Times New Roman"/>
        </w:rPr>
        <w:t>,</w:t>
      </w:r>
      <w:r w:rsidRPr="00EC1844">
        <w:rPr>
          <w:rFonts w:ascii="Times New Roman" w:hAnsi="Times New Roman"/>
        </w:rPr>
        <w:t xml:space="preserve"> her</w:t>
      </w:r>
      <w:r>
        <w:rPr>
          <w:rFonts w:ascii="Times New Roman" w:hAnsi="Times New Roman"/>
        </w:rPr>
        <w:t xml:space="preserve"> ay verileri geçmişe dönük</w:t>
      </w:r>
      <w:r w:rsidRPr="00EC1844">
        <w:rPr>
          <w:rFonts w:ascii="Times New Roman" w:hAnsi="Times New Roman"/>
        </w:rPr>
        <w:t xml:space="preserve"> revize ettiği için bilgi notlarında yer alan tablolardaki eski yıllara ait veriler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88"/>
    <w:rsid w:val="00026388"/>
    <w:rsid w:val="000A2B00"/>
    <w:rsid w:val="000B7966"/>
    <w:rsid w:val="000D60AE"/>
    <w:rsid w:val="00106FBE"/>
    <w:rsid w:val="001623B9"/>
    <w:rsid w:val="00192546"/>
    <w:rsid w:val="001B5A76"/>
    <w:rsid w:val="001B7C94"/>
    <w:rsid w:val="001D1AD8"/>
    <w:rsid w:val="001E42D5"/>
    <w:rsid w:val="00244AD5"/>
    <w:rsid w:val="00307DC2"/>
    <w:rsid w:val="0034255A"/>
    <w:rsid w:val="00423253"/>
    <w:rsid w:val="00487F7E"/>
    <w:rsid w:val="004E5185"/>
    <w:rsid w:val="004E56C2"/>
    <w:rsid w:val="004E7696"/>
    <w:rsid w:val="00562DDA"/>
    <w:rsid w:val="00635588"/>
    <w:rsid w:val="006406AC"/>
    <w:rsid w:val="006A5436"/>
    <w:rsid w:val="006C2AF3"/>
    <w:rsid w:val="00703A47"/>
    <w:rsid w:val="007A2C3D"/>
    <w:rsid w:val="007B1317"/>
    <w:rsid w:val="007B2212"/>
    <w:rsid w:val="007C2487"/>
    <w:rsid w:val="00815A92"/>
    <w:rsid w:val="00826CB2"/>
    <w:rsid w:val="00833A80"/>
    <w:rsid w:val="0083541E"/>
    <w:rsid w:val="008900CA"/>
    <w:rsid w:val="008A6C14"/>
    <w:rsid w:val="008A7042"/>
    <w:rsid w:val="0094466D"/>
    <w:rsid w:val="00A1164E"/>
    <w:rsid w:val="00A165CE"/>
    <w:rsid w:val="00A43B2D"/>
    <w:rsid w:val="00AD5FD0"/>
    <w:rsid w:val="00AE3238"/>
    <w:rsid w:val="00AF1F9F"/>
    <w:rsid w:val="00B001A2"/>
    <w:rsid w:val="00B01F09"/>
    <w:rsid w:val="00B30C60"/>
    <w:rsid w:val="00B63B35"/>
    <w:rsid w:val="00BB5F9E"/>
    <w:rsid w:val="00BC25C8"/>
    <w:rsid w:val="00BE7FFD"/>
    <w:rsid w:val="00BF1293"/>
    <w:rsid w:val="00C74CBA"/>
    <w:rsid w:val="00CC7C77"/>
    <w:rsid w:val="00CE77FB"/>
    <w:rsid w:val="00CE79C1"/>
    <w:rsid w:val="00D003A3"/>
    <w:rsid w:val="00D243C1"/>
    <w:rsid w:val="00DB6CBC"/>
    <w:rsid w:val="00E0005F"/>
    <w:rsid w:val="00E0201E"/>
    <w:rsid w:val="00F178C2"/>
    <w:rsid w:val="00F21270"/>
    <w:rsid w:val="00F57480"/>
    <w:rsid w:val="00F94878"/>
    <w:rsid w:val="00FC462C"/>
    <w:rsid w:val="00FD1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80"/>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562DD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2DDA"/>
    <w:rPr>
      <w:rFonts w:asciiTheme="majorHAnsi" w:eastAsiaTheme="majorEastAsia" w:hAnsiTheme="majorHAnsi" w:cstheme="majorBidi"/>
      <w:b/>
      <w:bCs/>
      <w:color w:val="5B9BD5" w:themeColor="accent1"/>
      <w:sz w:val="26"/>
      <w:szCs w:val="26"/>
      <w:lang w:eastAsia="tr-TR"/>
    </w:rPr>
  </w:style>
  <w:style w:type="table" w:customStyle="1" w:styleId="AkGlgeleme-Vurgu11">
    <w:name w:val="Açık Gölgeleme - Vurgu 11"/>
    <w:basedOn w:val="NormalTablo"/>
    <w:uiPriority w:val="60"/>
    <w:rsid w:val="00562DDA"/>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bilgi">
    <w:name w:val="header"/>
    <w:basedOn w:val="Normal"/>
    <w:link w:val="stbilgiChar"/>
    <w:uiPriority w:val="99"/>
    <w:unhideWhenUsed/>
    <w:rsid w:val="00562D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DDA"/>
    <w:rPr>
      <w:rFonts w:eastAsiaTheme="minorEastAsia"/>
      <w:lang w:eastAsia="tr-TR"/>
    </w:rPr>
  </w:style>
  <w:style w:type="paragraph" w:styleId="ResimYazs">
    <w:name w:val="caption"/>
    <w:basedOn w:val="Normal"/>
    <w:next w:val="Normal"/>
    <w:uiPriority w:val="35"/>
    <w:unhideWhenUsed/>
    <w:qFormat/>
    <w:rsid w:val="00562DDA"/>
    <w:pPr>
      <w:spacing w:line="240" w:lineRule="auto"/>
    </w:pPr>
    <w:rPr>
      <w:b/>
      <w:bCs/>
      <w:color w:val="5B9BD5" w:themeColor="accent1"/>
      <w:sz w:val="18"/>
      <w:szCs w:val="18"/>
    </w:rPr>
  </w:style>
  <w:style w:type="paragraph" w:customStyle="1" w:styleId="Default">
    <w:name w:val="Default"/>
    <w:rsid w:val="001E42D5"/>
    <w:pPr>
      <w:autoSpaceDE w:val="0"/>
      <w:autoSpaceDN w:val="0"/>
      <w:adjustRightInd w:val="0"/>
      <w:spacing w:after="0" w:line="240" w:lineRule="auto"/>
    </w:pPr>
    <w:rPr>
      <w:rFonts w:ascii="Tahoma" w:hAnsi="Tahoma" w:cs="Tahoma"/>
      <w:color w:val="000000"/>
      <w:sz w:val="24"/>
      <w:szCs w:val="24"/>
    </w:rPr>
  </w:style>
  <w:style w:type="table" w:customStyle="1" w:styleId="OrtaGlgeleme2-Vurgu11">
    <w:name w:val="Orta Gölgeleme 2 - Vurgu 1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B30C60"/>
    <w:pPr>
      <w:keepNext/>
    </w:pPr>
  </w:style>
  <w:style w:type="character" w:customStyle="1" w:styleId="rresimChar">
    <w:name w:val="rresim Char"/>
    <w:basedOn w:val="VarsaylanParagrafYazTipi"/>
    <w:link w:val="rresim"/>
    <w:rsid w:val="00B30C60"/>
    <w:rPr>
      <w:rFonts w:eastAsiaTheme="minorEastAsia"/>
      <w:lang w:eastAsia="tr-TR"/>
    </w:rPr>
  </w:style>
  <w:style w:type="character" w:styleId="DipnotBavurusu">
    <w:name w:val="footnote reference"/>
    <w:basedOn w:val="VarsaylanParagrafYazTipi"/>
    <w:uiPriority w:val="99"/>
    <w:semiHidden/>
    <w:unhideWhenUsed/>
    <w:rsid w:val="00703A47"/>
    <w:rPr>
      <w:vertAlign w:val="superscript"/>
    </w:rPr>
  </w:style>
  <w:style w:type="table" w:styleId="OrtaKlavuz3-Vurgu1">
    <w:name w:val="Medium Grid 3 Accent 1"/>
    <w:basedOn w:val="NormalTablo"/>
    <w:uiPriority w:val="69"/>
    <w:rsid w:val="00703A4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ipnotMetni">
    <w:name w:val="footnote text"/>
    <w:basedOn w:val="Normal"/>
    <w:link w:val="DipnotMetniChar"/>
    <w:uiPriority w:val="99"/>
    <w:semiHidden/>
    <w:unhideWhenUsed/>
    <w:rsid w:val="00703A47"/>
    <w:pPr>
      <w:spacing w:after="0" w:line="240" w:lineRule="auto"/>
    </w:pPr>
    <w:rPr>
      <w:rFonts w:ascii="Calibri" w:eastAsia="Calibri" w:hAnsi="Calibri" w:cs="Times New Roman"/>
      <w:sz w:val="20"/>
      <w:szCs w:val="20"/>
      <w:lang w:eastAsia="en-US"/>
    </w:rPr>
  </w:style>
  <w:style w:type="character" w:customStyle="1" w:styleId="DipnotMetniChar">
    <w:name w:val="Dipnot Metni Char"/>
    <w:basedOn w:val="VarsaylanParagrafYazTipi"/>
    <w:link w:val="DipnotMetni"/>
    <w:uiPriority w:val="99"/>
    <w:semiHidden/>
    <w:rsid w:val="00703A47"/>
    <w:rPr>
      <w:rFonts w:ascii="Calibri" w:eastAsia="Calibri" w:hAnsi="Calibri" w:cs="Times New Roman"/>
      <w:sz w:val="20"/>
      <w:szCs w:val="20"/>
    </w:rPr>
  </w:style>
  <w:style w:type="table" w:styleId="TabloKlavuzu">
    <w:name w:val="Table Grid"/>
    <w:basedOn w:val="NormalTablo"/>
    <w:uiPriority w:val="59"/>
    <w:rsid w:val="00F5748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541E"/>
    <w:pPr>
      <w:ind w:left="720"/>
      <w:contextualSpacing/>
    </w:pPr>
    <w:rPr>
      <w:rFonts w:ascii="Calibri" w:eastAsia="Calibri" w:hAnsi="Calibri" w:cs="Times New Roman"/>
      <w:lang w:eastAsia="en-US"/>
    </w:rPr>
  </w:style>
  <w:style w:type="paragraph" w:customStyle="1" w:styleId="Grafik">
    <w:name w:val="Grafik"/>
    <w:basedOn w:val="ResimYazs"/>
    <w:link w:val="GrafikChar"/>
    <w:qFormat/>
    <w:rsid w:val="00AF1F9F"/>
    <w:pPr>
      <w:keepNext/>
      <w:jc w:val="both"/>
    </w:pPr>
    <w:rPr>
      <w:rFonts w:ascii="Times New Roman" w:hAnsi="Times New Roman" w:cs="Times New Roman"/>
      <w:sz w:val="24"/>
      <w:szCs w:val="22"/>
    </w:rPr>
  </w:style>
  <w:style w:type="character" w:customStyle="1" w:styleId="GrafikChar">
    <w:name w:val="Grafik Char"/>
    <w:basedOn w:val="VarsaylanParagrafYazTipi"/>
    <w:link w:val="Grafik"/>
    <w:rsid w:val="00AF1F9F"/>
    <w:rPr>
      <w:rFonts w:ascii="Times New Roman" w:eastAsiaTheme="minorEastAsia" w:hAnsi="Times New Roman" w:cs="Times New Roman"/>
      <w:b/>
      <w:bCs/>
      <w:color w:val="5B9BD5" w:themeColor="accent1"/>
      <w:sz w:val="24"/>
      <w:lang w:eastAsia="tr-TR"/>
    </w:rPr>
  </w:style>
  <w:style w:type="paragraph" w:styleId="BalonMetni">
    <w:name w:val="Balloon Text"/>
    <w:basedOn w:val="Normal"/>
    <w:link w:val="BalonMetniChar"/>
    <w:uiPriority w:val="99"/>
    <w:semiHidden/>
    <w:unhideWhenUsed/>
    <w:rsid w:val="008A70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042"/>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80"/>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562DD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2DDA"/>
    <w:rPr>
      <w:rFonts w:asciiTheme="majorHAnsi" w:eastAsiaTheme="majorEastAsia" w:hAnsiTheme="majorHAnsi" w:cstheme="majorBidi"/>
      <w:b/>
      <w:bCs/>
      <w:color w:val="5B9BD5" w:themeColor="accent1"/>
      <w:sz w:val="26"/>
      <w:szCs w:val="26"/>
      <w:lang w:eastAsia="tr-TR"/>
    </w:rPr>
  </w:style>
  <w:style w:type="table" w:customStyle="1" w:styleId="AkGlgeleme-Vurgu11">
    <w:name w:val="Açık Gölgeleme - Vurgu 11"/>
    <w:basedOn w:val="NormalTablo"/>
    <w:uiPriority w:val="60"/>
    <w:rsid w:val="00562DDA"/>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bilgi">
    <w:name w:val="header"/>
    <w:basedOn w:val="Normal"/>
    <w:link w:val="stbilgiChar"/>
    <w:uiPriority w:val="99"/>
    <w:unhideWhenUsed/>
    <w:rsid w:val="00562D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DDA"/>
    <w:rPr>
      <w:rFonts w:eastAsiaTheme="minorEastAsia"/>
      <w:lang w:eastAsia="tr-TR"/>
    </w:rPr>
  </w:style>
  <w:style w:type="paragraph" w:styleId="ResimYazs">
    <w:name w:val="caption"/>
    <w:basedOn w:val="Normal"/>
    <w:next w:val="Normal"/>
    <w:uiPriority w:val="35"/>
    <w:unhideWhenUsed/>
    <w:qFormat/>
    <w:rsid w:val="00562DDA"/>
    <w:pPr>
      <w:spacing w:line="240" w:lineRule="auto"/>
    </w:pPr>
    <w:rPr>
      <w:b/>
      <w:bCs/>
      <w:color w:val="5B9BD5" w:themeColor="accent1"/>
      <w:sz w:val="18"/>
      <w:szCs w:val="18"/>
    </w:rPr>
  </w:style>
  <w:style w:type="paragraph" w:customStyle="1" w:styleId="Default">
    <w:name w:val="Default"/>
    <w:rsid w:val="001E42D5"/>
    <w:pPr>
      <w:autoSpaceDE w:val="0"/>
      <w:autoSpaceDN w:val="0"/>
      <w:adjustRightInd w:val="0"/>
      <w:spacing w:after="0" w:line="240" w:lineRule="auto"/>
    </w:pPr>
    <w:rPr>
      <w:rFonts w:ascii="Tahoma" w:hAnsi="Tahoma" w:cs="Tahoma"/>
      <w:color w:val="000000"/>
      <w:sz w:val="24"/>
      <w:szCs w:val="24"/>
    </w:rPr>
  </w:style>
  <w:style w:type="table" w:customStyle="1" w:styleId="OrtaGlgeleme2-Vurgu11">
    <w:name w:val="Orta Gölgeleme 2 - Vurgu 1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30C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B30C60"/>
    <w:pPr>
      <w:keepNext/>
    </w:pPr>
  </w:style>
  <w:style w:type="character" w:customStyle="1" w:styleId="rresimChar">
    <w:name w:val="rresim Char"/>
    <w:basedOn w:val="VarsaylanParagrafYazTipi"/>
    <w:link w:val="rresim"/>
    <w:rsid w:val="00B30C60"/>
    <w:rPr>
      <w:rFonts w:eastAsiaTheme="minorEastAsia"/>
      <w:lang w:eastAsia="tr-TR"/>
    </w:rPr>
  </w:style>
  <w:style w:type="character" w:styleId="DipnotBavurusu">
    <w:name w:val="footnote reference"/>
    <w:basedOn w:val="VarsaylanParagrafYazTipi"/>
    <w:uiPriority w:val="99"/>
    <w:semiHidden/>
    <w:unhideWhenUsed/>
    <w:rsid w:val="00703A47"/>
    <w:rPr>
      <w:vertAlign w:val="superscript"/>
    </w:rPr>
  </w:style>
  <w:style w:type="table" w:styleId="OrtaKlavuz3-Vurgu1">
    <w:name w:val="Medium Grid 3 Accent 1"/>
    <w:basedOn w:val="NormalTablo"/>
    <w:uiPriority w:val="69"/>
    <w:rsid w:val="00703A4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ipnotMetni">
    <w:name w:val="footnote text"/>
    <w:basedOn w:val="Normal"/>
    <w:link w:val="DipnotMetniChar"/>
    <w:uiPriority w:val="99"/>
    <w:semiHidden/>
    <w:unhideWhenUsed/>
    <w:rsid w:val="00703A47"/>
    <w:pPr>
      <w:spacing w:after="0" w:line="240" w:lineRule="auto"/>
    </w:pPr>
    <w:rPr>
      <w:rFonts w:ascii="Calibri" w:eastAsia="Calibri" w:hAnsi="Calibri" w:cs="Times New Roman"/>
      <w:sz w:val="20"/>
      <w:szCs w:val="20"/>
      <w:lang w:eastAsia="en-US"/>
    </w:rPr>
  </w:style>
  <w:style w:type="character" w:customStyle="1" w:styleId="DipnotMetniChar">
    <w:name w:val="Dipnot Metni Char"/>
    <w:basedOn w:val="VarsaylanParagrafYazTipi"/>
    <w:link w:val="DipnotMetni"/>
    <w:uiPriority w:val="99"/>
    <w:semiHidden/>
    <w:rsid w:val="00703A47"/>
    <w:rPr>
      <w:rFonts w:ascii="Calibri" w:eastAsia="Calibri" w:hAnsi="Calibri" w:cs="Times New Roman"/>
      <w:sz w:val="20"/>
      <w:szCs w:val="20"/>
    </w:rPr>
  </w:style>
  <w:style w:type="table" w:styleId="TabloKlavuzu">
    <w:name w:val="Table Grid"/>
    <w:basedOn w:val="NormalTablo"/>
    <w:uiPriority w:val="59"/>
    <w:rsid w:val="00F5748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541E"/>
    <w:pPr>
      <w:ind w:left="720"/>
      <w:contextualSpacing/>
    </w:pPr>
    <w:rPr>
      <w:rFonts w:ascii="Calibri" w:eastAsia="Calibri" w:hAnsi="Calibri" w:cs="Times New Roman"/>
      <w:lang w:eastAsia="en-US"/>
    </w:rPr>
  </w:style>
  <w:style w:type="paragraph" w:customStyle="1" w:styleId="Grafik">
    <w:name w:val="Grafik"/>
    <w:basedOn w:val="ResimYazs"/>
    <w:link w:val="GrafikChar"/>
    <w:qFormat/>
    <w:rsid w:val="00AF1F9F"/>
    <w:pPr>
      <w:keepNext/>
      <w:jc w:val="both"/>
    </w:pPr>
    <w:rPr>
      <w:rFonts w:ascii="Times New Roman" w:hAnsi="Times New Roman" w:cs="Times New Roman"/>
      <w:sz w:val="24"/>
      <w:szCs w:val="22"/>
    </w:rPr>
  </w:style>
  <w:style w:type="character" w:customStyle="1" w:styleId="GrafikChar">
    <w:name w:val="Grafik Char"/>
    <w:basedOn w:val="VarsaylanParagrafYazTipi"/>
    <w:link w:val="Grafik"/>
    <w:rsid w:val="00AF1F9F"/>
    <w:rPr>
      <w:rFonts w:ascii="Times New Roman" w:eastAsiaTheme="minorEastAsia" w:hAnsi="Times New Roman" w:cs="Times New Roman"/>
      <w:b/>
      <w:bCs/>
      <w:color w:val="5B9BD5" w:themeColor="accent1"/>
      <w:sz w:val="24"/>
      <w:lang w:eastAsia="tr-TR"/>
    </w:rPr>
  </w:style>
  <w:style w:type="paragraph" w:styleId="BalonMetni">
    <w:name w:val="Balloon Text"/>
    <w:basedOn w:val="Normal"/>
    <w:link w:val="BalonMetniChar"/>
    <w:uiPriority w:val="99"/>
    <w:semiHidden/>
    <w:unhideWhenUsed/>
    <w:rsid w:val="008A70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042"/>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image" Target="media/image11.emf"/><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1.xml"/><Relationship Id="rId42"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image" Target="media/image10.emf"/><Relationship Id="rId33" Type="http://schemas.openxmlformats.org/officeDocument/2006/relationships/chart" Target="charts/chart10.xml"/><Relationship Id="rId38"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4.xml"/><Relationship Id="rId29" Type="http://schemas.openxmlformats.org/officeDocument/2006/relationships/image" Target="media/image14.emf"/><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png"/><Relationship Id="rId32" Type="http://schemas.openxmlformats.org/officeDocument/2006/relationships/chart" Target="charts/chart9.xml"/><Relationship Id="rId37" Type="http://schemas.openxmlformats.org/officeDocument/2006/relationships/image" Target="media/image18.emf"/><Relationship Id="rId40" Type="http://schemas.openxmlformats.org/officeDocument/2006/relationships/image" Target="media/image21.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7.xml"/><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2.emf"/><Relationship Id="rId19" Type="http://schemas.openxmlformats.org/officeDocument/2006/relationships/chart" Target="charts/chart3.xml"/><Relationship Id="rId31" Type="http://schemas.openxmlformats.org/officeDocument/2006/relationships/chart" Target="charts/chart8.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16.emf"/><Relationship Id="rId43" Type="http://schemas.openxmlformats.org/officeDocument/2006/relationships/image" Target="media/image24.emf"/></Relationships>
</file>

<file path=word/charts/_rels/chart1.xml.rels><?xml version="1.0" encoding="UTF-8" standalone="yes"?>
<Relationships xmlns="http://schemas.openxmlformats.org/package/2006/relationships"><Relationship Id="rId1" Type="http://schemas.openxmlformats.org/officeDocument/2006/relationships/oleObject" Target="file:///D:\Taylan%20PC\Cloud\HH_D&#305;&#351;%20Ticaret%20&#304;statistik\HH_0519\HH_Analiz_&#351;uba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susN15\Desktop\Yeni%20klas&#246;r\B&#252;y&#252;m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susN15\Desktop\Yeni%20klas&#246;r\B&#252;y&#252;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aylan%20PC\Cloud\HH_D&#305;&#351;%20Ticaret%20&#304;statistik\HH_0519\HH_Analiz_&#351;uba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aylan%20PC\Cloud\HH_D&#305;&#351;%20Ticaret%20&#304;statistik\HH_0519\HH_Analiz_&#351;uba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N20\Desktop\ENDEKS%20VE%20B&#220;LTENLER\Sanayi%20&#220;retim%20Endeksi\2019\3.Mart.2019\S&#220;E_Mart.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N20\Desktop\ENDEKS%20VE%20B&#220;LTENLER\Sanayi%20&#220;retim%20Endeksi\2019\3.Mart.2019\S&#220;E_Mart.2019.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ismail.kara\Desktop\N&#304;SAN%202019\TSG_2000_2010.xls"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ismail.kara\Desktop\N&#304;SAN%202019\TSG_2000_2010.xls"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MERVE%20DUNDAR\Desktop\TEPE\2019\Nisan%202019\TEPAV_Perakende_Anketi_Tanim_ve_Sonuclari_2019_004.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RVE%20DUNDAR\Desktop\TEPE\2019\Nisan%202019\TEPAV_Perakende_Anketi_Tanim_ve_Sonuclari_2019_0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Sayfa1!$M$31</c:f>
              <c:strCache>
                <c:ptCount val="1"/>
                <c:pt idx="0">
                  <c:v>İşgücü</c:v>
                </c:pt>
              </c:strCache>
            </c:strRef>
          </c:tx>
          <c:spPr>
            <a:ln w="47625" cap="rnd">
              <a:solidFill>
                <a:srgbClr val="002060"/>
              </a:solidFill>
              <a:round/>
            </a:ln>
            <a:effectLst/>
          </c:spPr>
          <c:marker>
            <c:symbol val="none"/>
          </c:marker>
          <c:cat>
            <c:numRef>
              <c:f>Sayfa1!$L$32:$L$44</c:f>
              <c:numCache>
                <c:formatCode>mmm\-yy</c:formatCode>
                <c:ptCount val="13"/>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numCache>
            </c:numRef>
          </c:cat>
          <c:val>
            <c:numRef>
              <c:f>Sayfa1!$M$32:$M$44</c:f>
              <c:numCache>
                <c:formatCode>0.0</c:formatCode>
                <c:ptCount val="13"/>
                <c:pt idx="0">
                  <c:v>31.52</c:v>
                </c:pt>
                <c:pt idx="1">
                  <c:v>31.709</c:v>
                </c:pt>
                <c:pt idx="2">
                  <c:v>32.094999999999999</c:v>
                </c:pt>
                <c:pt idx="3">
                  <c:v>32.274000000000001</c:v>
                </c:pt>
                <c:pt idx="4">
                  <c:v>32.628999999999998</c:v>
                </c:pt>
                <c:pt idx="5">
                  <c:v>32.795999999999999</c:v>
                </c:pt>
                <c:pt idx="6">
                  <c:v>32.988999999999997</c:v>
                </c:pt>
                <c:pt idx="7">
                  <c:v>32.813000000000002</c:v>
                </c:pt>
                <c:pt idx="8">
                  <c:v>32.658000000000001</c:v>
                </c:pt>
                <c:pt idx="9">
                  <c:v>32.295000000000002</c:v>
                </c:pt>
                <c:pt idx="10">
                  <c:v>31.957000000000001</c:v>
                </c:pt>
                <c:pt idx="11">
                  <c:v>31.824999999999999</c:v>
                </c:pt>
                <c:pt idx="12">
                  <c:v>32.084000000000003</c:v>
                </c:pt>
              </c:numCache>
            </c:numRef>
          </c:val>
          <c:smooth val="1"/>
          <c:extLst xmlns:c16r2="http://schemas.microsoft.com/office/drawing/2015/06/chart">
            <c:ext xmlns:c16="http://schemas.microsoft.com/office/drawing/2014/chart" uri="{C3380CC4-5D6E-409C-BE32-E72D297353CC}">
              <c16:uniqueId val="{00000000-4767-46CA-BF53-359F388BEAC2}"/>
            </c:ext>
          </c:extLst>
        </c:ser>
        <c:ser>
          <c:idx val="1"/>
          <c:order val="1"/>
          <c:tx>
            <c:strRef>
              <c:f>Sayfa1!$N$31</c:f>
              <c:strCache>
                <c:ptCount val="1"/>
                <c:pt idx="0">
                  <c:v>İstihdam</c:v>
                </c:pt>
              </c:strCache>
            </c:strRef>
          </c:tx>
          <c:spPr>
            <a:ln w="47625" cap="rnd">
              <a:solidFill>
                <a:srgbClr val="C00000"/>
              </a:solidFill>
              <a:round/>
            </a:ln>
            <a:effectLst/>
          </c:spPr>
          <c:marker>
            <c:symbol val="none"/>
          </c:marker>
          <c:cat>
            <c:numRef>
              <c:f>Sayfa1!$L$32:$L$44</c:f>
              <c:numCache>
                <c:formatCode>mmm\-yy</c:formatCode>
                <c:ptCount val="13"/>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numCache>
            </c:numRef>
          </c:cat>
          <c:val>
            <c:numRef>
              <c:f>Sayfa1!$N$32:$N$44</c:f>
              <c:numCache>
                <c:formatCode>0.0</c:formatCode>
                <c:ptCount val="13"/>
                <c:pt idx="0">
                  <c:v>28.166</c:v>
                </c:pt>
                <c:pt idx="1">
                  <c:v>28.498999999999999</c:v>
                </c:pt>
                <c:pt idx="2">
                  <c:v>29.009</c:v>
                </c:pt>
                <c:pt idx="3">
                  <c:v>29.138000000000002</c:v>
                </c:pt>
                <c:pt idx="4">
                  <c:v>29.314</c:v>
                </c:pt>
                <c:pt idx="5">
                  <c:v>29.265000000000001</c:v>
                </c:pt>
                <c:pt idx="6">
                  <c:v>29.318000000000001</c:v>
                </c:pt>
                <c:pt idx="7">
                  <c:v>29.062999999999999</c:v>
                </c:pt>
                <c:pt idx="8">
                  <c:v>28.87</c:v>
                </c:pt>
                <c:pt idx="9">
                  <c:v>28.314</c:v>
                </c:pt>
                <c:pt idx="10">
                  <c:v>27.655000000000001</c:v>
                </c:pt>
                <c:pt idx="11">
                  <c:v>27.157</c:v>
                </c:pt>
                <c:pt idx="12">
                  <c:v>27.355</c:v>
                </c:pt>
              </c:numCache>
            </c:numRef>
          </c:val>
          <c:smooth val="1"/>
          <c:extLst xmlns:c16r2="http://schemas.microsoft.com/office/drawing/2015/06/chart">
            <c:ext xmlns:c16="http://schemas.microsoft.com/office/drawing/2014/chart" uri="{C3380CC4-5D6E-409C-BE32-E72D297353CC}">
              <c16:uniqueId val="{00000001-4767-46CA-BF53-359F388BEAC2}"/>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42824064"/>
        <c:axId val="42825600"/>
      </c:lineChart>
      <c:dateAx>
        <c:axId val="428240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42825600"/>
        <c:crosses val="autoZero"/>
        <c:auto val="1"/>
        <c:lblOffset val="100"/>
        <c:baseTimeUnit val="months"/>
      </c:dateAx>
      <c:valAx>
        <c:axId val="42825600"/>
        <c:scaling>
          <c:orientation val="minMax"/>
          <c:max val="34"/>
          <c:min val="27"/>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a:t>Milyon kişi</a:t>
                </a:r>
                <a:endParaRPr lang="en-GB"/>
              </a:p>
            </c:rich>
          </c:tx>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4282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4925" cap="rnd">
              <a:solidFill>
                <a:srgbClr val="002060"/>
              </a:solidFill>
              <a:round/>
            </a:ln>
            <a:effectLst/>
          </c:spPr>
          <c:marker>
            <c:symbol val="none"/>
          </c:marker>
          <c:cat>
            <c:strRef>
              <c:f>'Grafik 1'!$L$7:$L$11</c:f>
              <c:strCache>
                <c:ptCount val="5"/>
                <c:pt idx="0">
                  <c:v>2018_Ç1</c:v>
                </c:pt>
                <c:pt idx="1">
                  <c:v>2018_Ç2</c:v>
                </c:pt>
                <c:pt idx="2">
                  <c:v>2018_Ç3</c:v>
                </c:pt>
                <c:pt idx="3">
                  <c:v>2018_Ç4</c:v>
                </c:pt>
                <c:pt idx="4">
                  <c:v>2019_Ç1</c:v>
                </c:pt>
              </c:strCache>
            </c:strRef>
          </c:cat>
          <c:val>
            <c:numRef>
              <c:f>'Grafik 1'!$M$7:$M$11</c:f>
              <c:numCache>
                <c:formatCode>0</c:formatCode>
                <c:ptCount val="5"/>
                <c:pt idx="0">
                  <c:v>788.83299999999997</c:v>
                </c:pt>
                <c:pt idx="1">
                  <c:v>885.23599999999999</c:v>
                </c:pt>
                <c:pt idx="2">
                  <c:v>1016.806</c:v>
                </c:pt>
                <c:pt idx="3">
                  <c:v>1010.114</c:v>
                </c:pt>
                <c:pt idx="4">
                  <c:v>914.69899999999996</c:v>
                </c:pt>
              </c:numCache>
            </c:numRef>
          </c:val>
          <c:smooth val="1"/>
          <c:extLst xmlns:c16r2="http://schemas.microsoft.com/office/drawing/2015/06/chart">
            <c:ext xmlns:c16="http://schemas.microsoft.com/office/drawing/2014/chart" uri="{C3380CC4-5D6E-409C-BE32-E72D297353CC}">
              <c16:uniqueId val="{00000000-961E-4B9A-A840-4005844C2D15}"/>
            </c:ext>
          </c:extLst>
        </c:ser>
        <c:dLbls>
          <c:showLegendKey val="0"/>
          <c:showVal val="0"/>
          <c:showCatName val="0"/>
          <c:showSerName val="0"/>
          <c:showPercent val="0"/>
          <c:showBubbleSize val="0"/>
        </c:dLbls>
        <c:marker val="1"/>
        <c:smooth val="0"/>
        <c:axId val="77873536"/>
        <c:axId val="77875072"/>
      </c:lineChart>
      <c:catAx>
        <c:axId val="778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7875072"/>
        <c:crosses val="autoZero"/>
        <c:auto val="1"/>
        <c:lblAlgn val="ctr"/>
        <c:lblOffset val="100"/>
        <c:noMultiLvlLbl val="0"/>
      </c:catAx>
      <c:valAx>
        <c:axId val="778750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787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 2'!$C$3</c:f>
              <c:strCache>
                <c:ptCount val="1"/>
                <c:pt idx="0">
                  <c:v>Endeks, sol eksen</c:v>
                </c:pt>
              </c:strCache>
            </c:strRef>
          </c:tx>
          <c:spPr>
            <a:solidFill>
              <a:srgbClr val="002060"/>
            </a:solidFill>
            <a:ln>
              <a:noFill/>
            </a:ln>
            <a:effectLst/>
          </c:spPr>
          <c:invertIfNegative val="0"/>
          <c:cat>
            <c:strRef>
              <c:f>'Grafik 2'!$B$8:$B$12</c:f>
              <c:strCache>
                <c:ptCount val="5"/>
                <c:pt idx="0">
                  <c:v>2018_Ç1</c:v>
                </c:pt>
                <c:pt idx="1">
                  <c:v>2018_Ç2</c:v>
                </c:pt>
                <c:pt idx="2">
                  <c:v>2018_Ç3</c:v>
                </c:pt>
                <c:pt idx="3">
                  <c:v>2018_Ç4</c:v>
                </c:pt>
                <c:pt idx="4">
                  <c:v>2019_Ç1</c:v>
                </c:pt>
              </c:strCache>
            </c:strRef>
          </c:cat>
          <c:val>
            <c:numRef>
              <c:f>'Grafik 2'!$C$8:$C$12</c:f>
              <c:numCache>
                <c:formatCode>#,##0.0</c:formatCode>
                <c:ptCount val="5"/>
                <c:pt idx="0">
                  <c:v>158.4</c:v>
                </c:pt>
                <c:pt idx="1">
                  <c:v>172.8</c:v>
                </c:pt>
                <c:pt idx="2">
                  <c:v>183.8</c:v>
                </c:pt>
                <c:pt idx="3">
                  <c:v>180.5</c:v>
                </c:pt>
                <c:pt idx="4" formatCode="General">
                  <c:v>154.19999999999999</c:v>
                </c:pt>
              </c:numCache>
            </c:numRef>
          </c:val>
          <c:extLst xmlns:c16r2="http://schemas.microsoft.com/office/drawing/2015/06/chart">
            <c:ext xmlns:c16="http://schemas.microsoft.com/office/drawing/2014/chart" uri="{C3380CC4-5D6E-409C-BE32-E72D297353CC}">
              <c16:uniqueId val="{00000000-00EB-48A0-869B-E35DBE0928F5}"/>
            </c:ext>
          </c:extLst>
        </c:ser>
        <c:dLbls>
          <c:showLegendKey val="0"/>
          <c:showVal val="0"/>
          <c:showCatName val="0"/>
          <c:showSerName val="0"/>
          <c:showPercent val="0"/>
          <c:showBubbleSize val="0"/>
        </c:dLbls>
        <c:gapWidth val="65"/>
        <c:overlap val="-27"/>
        <c:axId val="77892992"/>
        <c:axId val="77899264"/>
      </c:barChart>
      <c:lineChart>
        <c:grouping val="standard"/>
        <c:varyColors val="0"/>
        <c:ser>
          <c:idx val="1"/>
          <c:order val="1"/>
          <c:tx>
            <c:strRef>
              <c:f>'Grafik 2'!$D$3</c:f>
              <c:strCache>
                <c:ptCount val="1"/>
                <c:pt idx="0">
                  <c:v>Bir önceki yılın aynı dönemine göre değişim, %, sağ eksen</c:v>
                </c:pt>
              </c:strCache>
            </c:strRef>
          </c:tx>
          <c:spPr>
            <a:ln w="41275" cap="rnd">
              <a:solidFill>
                <a:srgbClr val="C00000"/>
              </a:solidFill>
              <a:round/>
            </a:ln>
            <a:effectLst/>
          </c:spPr>
          <c:marker>
            <c:symbol val="diamond"/>
            <c:size val="12"/>
            <c:spPr>
              <a:solidFill>
                <a:srgbClr val="C00000"/>
              </a:solidFill>
              <a:ln w="9525">
                <a:solidFill>
                  <a:srgbClr val="C00000"/>
                </a:solidFill>
              </a:ln>
              <a:effectLst/>
            </c:spPr>
          </c:marker>
          <c:cat>
            <c:strRef>
              <c:f>'Grafik 2'!$B$8:$B$12</c:f>
              <c:strCache>
                <c:ptCount val="5"/>
                <c:pt idx="0">
                  <c:v>2018_Ç1</c:v>
                </c:pt>
                <c:pt idx="1">
                  <c:v>2018_Ç2</c:v>
                </c:pt>
                <c:pt idx="2">
                  <c:v>2018_Ç3</c:v>
                </c:pt>
                <c:pt idx="3">
                  <c:v>2018_Ç4</c:v>
                </c:pt>
                <c:pt idx="4">
                  <c:v>2019_Ç1</c:v>
                </c:pt>
              </c:strCache>
            </c:strRef>
          </c:cat>
          <c:val>
            <c:numRef>
              <c:f>'Grafik 2'!$D$8:$D$12</c:f>
              <c:numCache>
                <c:formatCode>#,##0.0</c:formatCode>
                <c:ptCount val="5"/>
                <c:pt idx="0">
                  <c:v>7.4</c:v>
                </c:pt>
                <c:pt idx="1">
                  <c:v>5.3</c:v>
                </c:pt>
                <c:pt idx="2">
                  <c:v>1.8</c:v>
                </c:pt>
                <c:pt idx="3">
                  <c:v>-3</c:v>
                </c:pt>
                <c:pt idx="4" formatCode="General">
                  <c:v>-2.6</c:v>
                </c:pt>
              </c:numCache>
            </c:numRef>
          </c:val>
          <c:smooth val="1"/>
          <c:extLst xmlns:c16r2="http://schemas.microsoft.com/office/drawing/2015/06/chart">
            <c:ext xmlns:c16="http://schemas.microsoft.com/office/drawing/2014/chart" uri="{C3380CC4-5D6E-409C-BE32-E72D297353CC}">
              <c16:uniqueId val="{00000001-00EB-48A0-869B-E35DBE0928F5}"/>
            </c:ext>
          </c:extLst>
        </c:ser>
        <c:dLbls>
          <c:showLegendKey val="0"/>
          <c:showVal val="0"/>
          <c:showCatName val="0"/>
          <c:showSerName val="0"/>
          <c:showPercent val="0"/>
          <c:showBubbleSize val="0"/>
        </c:dLbls>
        <c:marker val="1"/>
        <c:smooth val="0"/>
        <c:axId val="77910784"/>
        <c:axId val="77900800"/>
      </c:lineChart>
      <c:catAx>
        <c:axId val="7789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7899264"/>
        <c:crosses val="autoZero"/>
        <c:auto val="1"/>
        <c:lblAlgn val="ctr"/>
        <c:lblOffset val="100"/>
        <c:noMultiLvlLbl val="0"/>
      </c:catAx>
      <c:valAx>
        <c:axId val="7789926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7892992"/>
        <c:crosses val="autoZero"/>
        <c:crossBetween val="between"/>
        <c:majorUnit val="40"/>
      </c:valAx>
      <c:valAx>
        <c:axId val="7790080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7910784"/>
        <c:crosses val="max"/>
        <c:crossBetween val="between"/>
      </c:valAx>
      <c:catAx>
        <c:axId val="77910784"/>
        <c:scaling>
          <c:orientation val="minMax"/>
        </c:scaling>
        <c:delete val="1"/>
        <c:axPos val="b"/>
        <c:numFmt formatCode="General" sourceLinked="1"/>
        <c:majorTickMark val="out"/>
        <c:minorTickMark val="none"/>
        <c:tickLblPos val="nextTo"/>
        <c:crossAx val="77900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Sayfa2!$B$11</c:f>
              <c:strCache>
                <c:ptCount val="1"/>
                <c:pt idx="0">
                  <c:v>Toplam</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Sayfa2!$C$10:$H$10</c:f>
              <c:strCache>
                <c:ptCount val="6"/>
                <c:pt idx="0">
                  <c:v>Nüfus</c:v>
                </c:pt>
                <c:pt idx="1">
                  <c:v>İşgücü</c:v>
                </c:pt>
                <c:pt idx="2">
                  <c:v>Tarım</c:v>
                </c:pt>
                <c:pt idx="3">
                  <c:v>Tarım-Dışı</c:v>
                </c:pt>
                <c:pt idx="4">
                  <c:v>İşsiz</c:v>
                </c:pt>
                <c:pt idx="5">
                  <c:v>İşgücüne Dahil Olmayanlar</c:v>
                </c:pt>
              </c:strCache>
            </c:strRef>
          </c:cat>
          <c:val>
            <c:numRef>
              <c:f>Sayfa2!$C$11:$H$11</c:f>
              <c:numCache>
                <c:formatCode>0.0</c:formatCode>
                <c:ptCount val="6"/>
                <c:pt idx="0">
                  <c:v>61.100999999999999</c:v>
                </c:pt>
                <c:pt idx="1">
                  <c:v>32.084000000000003</c:v>
                </c:pt>
                <c:pt idx="2">
                  <c:v>4.6870000000000003</c:v>
                </c:pt>
                <c:pt idx="3">
                  <c:v>22.667999999999999</c:v>
                </c:pt>
                <c:pt idx="4">
                  <c:v>4.7300000000000004</c:v>
                </c:pt>
                <c:pt idx="5">
                  <c:v>29.016999999999999</c:v>
                </c:pt>
              </c:numCache>
            </c:numRef>
          </c:val>
          <c:extLst xmlns:c16r2="http://schemas.microsoft.com/office/drawing/2015/06/chart">
            <c:ext xmlns:c16="http://schemas.microsoft.com/office/drawing/2014/chart" uri="{C3380CC4-5D6E-409C-BE32-E72D297353CC}">
              <c16:uniqueId val="{00000000-C8A5-4B12-9D3A-44C783C1A191}"/>
            </c:ext>
          </c:extLst>
        </c:ser>
        <c:ser>
          <c:idx val="1"/>
          <c:order val="1"/>
          <c:tx>
            <c:strRef>
              <c:f>Sayfa2!$B$12</c:f>
              <c:strCache>
                <c:ptCount val="1"/>
                <c:pt idx="0">
                  <c:v>Erkek </c:v>
                </c:pt>
              </c:strCache>
            </c:strRef>
          </c:tx>
          <c:spPr>
            <a:solidFill>
              <a:schemeClr val="bg2">
                <a:lumMod val="5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Sayfa2!$C$10:$H$10</c:f>
              <c:strCache>
                <c:ptCount val="6"/>
                <c:pt idx="0">
                  <c:v>Nüfus</c:v>
                </c:pt>
                <c:pt idx="1">
                  <c:v>İşgücü</c:v>
                </c:pt>
                <c:pt idx="2">
                  <c:v>Tarım</c:v>
                </c:pt>
                <c:pt idx="3">
                  <c:v>Tarım-Dışı</c:v>
                </c:pt>
                <c:pt idx="4">
                  <c:v>İşsiz</c:v>
                </c:pt>
                <c:pt idx="5">
                  <c:v>İşgücüne Dahil Olmayanlar</c:v>
                </c:pt>
              </c:strCache>
            </c:strRef>
          </c:cat>
          <c:val>
            <c:numRef>
              <c:f>Sayfa2!$C$12:$H$12</c:f>
              <c:numCache>
                <c:formatCode>0.0</c:formatCode>
                <c:ptCount val="6"/>
                <c:pt idx="0">
                  <c:v>30.193000000000001</c:v>
                </c:pt>
                <c:pt idx="1">
                  <c:v>21.571000000000002</c:v>
                </c:pt>
                <c:pt idx="2">
                  <c:v>2.7149999999999999</c:v>
                </c:pt>
                <c:pt idx="3">
                  <c:v>15.898999999999999</c:v>
                </c:pt>
                <c:pt idx="4">
                  <c:v>2.9569999999999999</c:v>
                </c:pt>
                <c:pt idx="5">
                  <c:v>8.6219999999999999</c:v>
                </c:pt>
              </c:numCache>
            </c:numRef>
          </c:val>
          <c:extLst xmlns:c16r2="http://schemas.microsoft.com/office/drawing/2015/06/chart">
            <c:ext xmlns:c16="http://schemas.microsoft.com/office/drawing/2014/chart" uri="{C3380CC4-5D6E-409C-BE32-E72D297353CC}">
              <c16:uniqueId val="{00000001-C8A5-4B12-9D3A-44C783C1A191}"/>
            </c:ext>
          </c:extLst>
        </c:ser>
        <c:ser>
          <c:idx val="2"/>
          <c:order val="2"/>
          <c:tx>
            <c:strRef>
              <c:f>Sayfa2!$B$13</c:f>
              <c:strCache>
                <c:ptCount val="1"/>
                <c:pt idx="0">
                  <c:v>Kadın</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Sayfa2!$C$10:$H$10</c:f>
              <c:strCache>
                <c:ptCount val="6"/>
                <c:pt idx="0">
                  <c:v>Nüfus</c:v>
                </c:pt>
                <c:pt idx="1">
                  <c:v>İşgücü</c:v>
                </c:pt>
                <c:pt idx="2">
                  <c:v>Tarım</c:v>
                </c:pt>
                <c:pt idx="3">
                  <c:v>Tarım-Dışı</c:v>
                </c:pt>
                <c:pt idx="4">
                  <c:v>İşsiz</c:v>
                </c:pt>
                <c:pt idx="5">
                  <c:v>İşgücüne Dahil Olmayanlar</c:v>
                </c:pt>
              </c:strCache>
            </c:strRef>
          </c:cat>
          <c:val>
            <c:numRef>
              <c:f>Sayfa2!$C$13:$H$13</c:f>
              <c:numCache>
                <c:formatCode>0.0</c:formatCode>
                <c:ptCount val="6"/>
                <c:pt idx="0">
                  <c:v>30.908000000000001</c:v>
                </c:pt>
                <c:pt idx="1">
                  <c:v>10.513</c:v>
                </c:pt>
                <c:pt idx="2">
                  <c:v>1.972</c:v>
                </c:pt>
                <c:pt idx="3">
                  <c:v>6.7690000000000001</c:v>
                </c:pt>
                <c:pt idx="4">
                  <c:v>1.7729999999999999</c:v>
                </c:pt>
                <c:pt idx="5">
                  <c:v>20.395</c:v>
                </c:pt>
              </c:numCache>
            </c:numRef>
          </c:val>
          <c:extLst xmlns:c16r2="http://schemas.microsoft.com/office/drawing/2015/06/chart">
            <c:ext xmlns:c16="http://schemas.microsoft.com/office/drawing/2014/chart" uri="{C3380CC4-5D6E-409C-BE32-E72D297353CC}">
              <c16:uniqueId val="{00000002-C8A5-4B12-9D3A-44C783C1A191}"/>
            </c:ext>
          </c:extLst>
        </c:ser>
        <c:dLbls>
          <c:showLegendKey val="0"/>
          <c:showVal val="1"/>
          <c:showCatName val="0"/>
          <c:showSerName val="0"/>
          <c:showPercent val="0"/>
          <c:showBubbleSize val="0"/>
        </c:dLbls>
        <c:gapWidth val="150"/>
        <c:overlap val="-25"/>
        <c:axId val="45762432"/>
        <c:axId val="45763968"/>
      </c:barChart>
      <c:catAx>
        <c:axId val="45762432"/>
        <c:scaling>
          <c:orientation val="minMax"/>
        </c:scaling>
        <c:delete val="0"/>
        <c:axPos val="b"/>
        <c:numFmt formatCode="General" sourceLinked="0"/>
        <c:majorTickMark val="none"/>
        <c:minorTickMark val="none"/>
        <c:tickLblPos val="nextTo"/>
        <c:txPr>
          <a:bodyPr/>
          <a:lstStyle/>
          <a:p>
            <a:pPr>
              <a:defRPr sz="1200"/>
            </a:pPr>
            <a:endParaRPr lang="tr-TR"/>
          </a:p>
        </c:txPr>
        <c:crossAx val="45763968"/>
        <c:crosses val="autoZero"/>
        <c:auto val="1"/>
        <c:lblAlgn val="ctr"/>
        <c:lblOffset val="100"/>
        <c:noMultiLvlLbl val="0"/>
      </c:catAx>
      <c:valAx>
        <c:axId val="45763968"/>
        <c:scaling>
          <c:orientation val="minMax"/>
        </c:scaling>
        <c:delete val="1"/>
        <c:axPos val="l"/>
        <c:numFmt formatCode="0.0" sourceLinked="1"/>
        <c:majorTickMark val="out"/>
        <c:minorTickMark val="none"/>
        <c:tickLblPos val="nextTo"/>
        <c:crossAx val="45762432"/>
        <c:crosses val="autoZero"/>
        <c:crossBetween val="between"/>
      </c:valAx>
    </c:plotArea>
    <c:legend>
      <c:legendPos val="b"/>
      <c:overlay val="0"/>
      <c:txPr>
        <a:bodyPr/>
        <a:lstStyle/>
        <a:p>
          <a:pPr>
            <a:defRPr sz="1200"/>
          </a:pPr>
          <a:endParaRPr lang="tr-TR"/>
        </a:p>
      </c:txPr>
    </c:legend>
    <c:plotVisOnly val="1"/>
    <c:dispBlanksAs val="gap"/>
    <c:showDLblsOverMax val="0"/>
  </c:chart>
  <c:spPr>
    <a:ln>
      <a:noFill/>
    </a:ln>
  </c:spPr>
  <c:txPr>
    <a:bodyPr/>
    <a:lstStyle/>
    <a:p>
      <a:pPr>
        <a:defRPr sz="1000"/>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Sayfa3!$B$4</c:f>
              <c:strCache>
                <c:ptCount val="1"/>
                <c:pt idx="0">
                  <c:v>Toplam</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Sayfa3!$C$3:$F$3</c:f>
              <c:strCache>
                <c:ptCount val="4"/>
                <c:pt idx="0">
                  <c:v>İşgücüne Katılım Oranı (%)</c:v>
                </c:pt>
                <c:pt idx="1">
                  <c:v>İstihdam Oranı (%)</c:v>
                </c:pt>
                <c:pt idx="2">
                  <c:v>İşsizlik Oranı (%)</c:v>
                </c:pt>
                <c:pt idx="3">
                  <c:v>Tarım Dışı İşsizlik Oranı (%)</c:v>
                </c:pt>
              </c:strCache>
            </c:strRef>
          </c:cat>
          <c:val>
            <c:numRef>
              <c:f>Sayfa3!$C$4:$F$4</c:f>
              <c:numCache>
                <c:formatCode>General</c:formatCode>
                <c:ptCount val="4"/>
                <c:pt idx="0">
                  <c:v>52.5</c:v>
                </c:pt>
                <c:pt idx="1">
                  <c:v>44.8</c:v>
                </c:pt>
                <c:pt idx="2">
                  <c:v>14.7</c:v>
                </c:pt>
                <c:pt idx="3">
                  <c:v>16.899999999999999</c:v>
                </c:pt>
              </c:numCache>
            </c:numRef>
          </c:val>
          <c:extLst xmlns:c16r2="http://schemas.microsoft.com/office/drawing/2015/06/chart">
            <c:ext xmlns:c16="http://schemas.microsoft.com/office/drawing/2014/chart" uri="{C3380CC4-5D6E-409C-BE32-E72D297353CC}">
              <c16:uniqueId val="{00000000-9E17-4B5A-BFA6-EADA2D5E8549}"/>
            </c:ext>
          </c:extLst>
        </c:ser>
        <c:ser>
          <c:idx val="1"/>
          <c:order val="1"/>
          <c:tx>
            <c:strRef>
              <c:f>Sayfa3!$B$5</c:f>
              <c:strCache>
                <c:ptCount val="1"/>
                <c:pt idx="0">
                  <c:v>Erkek</c:v>
                </c:pt>
              </c:strCache>
            </c:strRef>
          </c:tx>
          <c:spPr>
            <a:solidFill>
              <a:schemeClr val="bg2">
                <a:lumMod val="5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Sayfa3!$C$3:$F$3</c:f>
              <c:strCache>
                <c:ptCount val="4"/>
                <c:pt idx="0">
                  <c:v>İşgücüne Katılım Oranı (%)</c:v>
                </c:pt>
                <c:pt idx="1">
                  <c:v>İstihdam Oranı (%)</c:v>
                </c:pt>
                <c:pt idx="2">
                  <c:v>İşsizlik Oranı (%)</c:v>
                </c:pt>
                <c:pt idx="3">
                  <c:v>Tarım Dışı İşsizlik Oranı (%)</c:v>
                </c:pt>
              </c:strCache>
            </c:strRef>
          </c:cat>
          <c:val>
            <c:numRef>
              <c:f>Sayfa3!$C$5:$F$5</c:f>
              <c:numCache>
                <c:formatCode>General</c:formatCode>
                <c:ptCount val="4"/>
                <c:pt idx="0">
                  <c:v>71.400000000000006</c:v>
                </c:pt>
                <c:pt idx="1">
                  <c:v>61.7</c:v>
                </c:pt>
                <c:pt idx="2">
                  <c:v>13.7</c:v>
                </c:pt>
                <c:pt idx="3">
                  <c:v>15.3</c:v>
                </c:pt>
              </c:numCache>
            </c:numRef>
          </c:val>
          <c:extLst xmlns:c16r2="http://schemas.microsoft.com/office/drawing/2015/06/chart">
            <c:ext xmlns:c16="http://schemas.microsoft.com/office/drawing/2014/chart" uri="{C3380CC4-5D6E-409C-BE32-E72D297353CC}">
              <c16:uniqueId val="{00000001-9E17-4B5A-BFA6-EADA2D5E8549}"/>
            </c:ext>
          </c:extLst>
        </c:ser>
        <c:ser>
          <c:idx val="2"/>
          <c:order val="2"/>
          <c:tx>
            <c:strRef>
              <c:f>Sayfa3!$B$6</c:f>
              <c:strCache>
                <c:ptCount val="1"/>
                <c:pt idx="0">
                  <c:v>Kadın</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Sayfa3!$C$3:$F$3</c:f>
              <c:strCache>
                <c:ptCount val="4"/>
                <c:pt idx="0">
                  <c:v>İşgücüne Katılım Oranı (%)</c:v>
                </c:pt>
                <c:pt idx="1">
                  <c:v>İstihdam Oranı (%)</c:v>
                </c:pt>
                <c:pt idx="2">
                  <c:v>İşsizlik Oranı (%)</c:v>
                </c:pt>
                <c:pt idx="3">
                  <c:v>Tarım Dışı İşsizlik Oranı (%)</c:v>
                </c:pt>
              </c:strCache>
            </c:strRef>
          </c:cat>
          <c:val>
            <c:numRef>
              <c:f>Sayfa3!$C$6:$F$6</c:f>
              <c:numCache>
                <c:formatCode>General</c:formatCode>
                <c:ptCount val="4"/>
                <c:pt idx="0">
                  <c:v>34</c:v>
                </c:pt>
                <c:pt idx="1">
                  <c:v>28.3</c:v>
                </c:pt>
                <c:pt idx="2">
                  <c:v>16.899999999999999</c:v>
                </c:pt>
                <c:pt idx="3">
                  <c:v>20.5</c:v>
                </c:pt>
              </c:numCache>
            </c:numRef>
          </c:val>
          <c:extLst xmlns:c16r2="http://schemas.microsoft.com/office/drawing/2015/06/chart">
            <c:ext xmlns:c16="http://schemas.microsoft.com/office/drawing/2014/chart" uri="{C3380CC4-5D6E-409C-BE32-E72D297353CC}">
              <c16:uniqueId val="{00000002-9E17-4B5A-BFA6-EADA2D5E8549}"/>
            </c:ext>
          </c:extLst>
        </c:ser>
        <c:dLbls>
          <c:showLegendKey val="0"/>
          <c:showVal val="1"/>
          <c:showCatName val="0"/>
          <c:showSerName val="0"/>
          <c:showPercent val="0"/>
          <c:showBubbleSize val="0"/>
        </c:dLbls>
        <c:gapWidth val="150"/>
        <c:overlap val="-25"/>
        <c:axId val="84839424"/>
        <c:axId val="122430208"/>
      </c:barChart>
      <c:catAx>
        <c:axId val="84839424"/>
        <c:scaling>
          <c:orientation val="minMax"/>
        </c:scaling>
        <c:delete val="0"/>
        <c:axPos val="b"/>
        <c:numFmt formatCode="General" sourceLinked="0"/>
        <c:majorTickMark val="none"/>
        <c:minorTickMark val="none"/>
        <c:tickLblPos val="nextTo"/>
        <c:txPr>
          <a:bodyPr/>
          <a:lstStyle/>
          <a:p>
            <a:pPr>
              <a:defRPr sz="1200"/>
            </a:pPr>
            <a:endParaRPr lang="tr-TR"/>
          </a:p>
        </c:txPr>
        <c:crossAx val="122430208"/>
        <c:crosses val="autoZero"/>
        <c:auto val="1"/>
        <c:lblAlgn val="ctr"/>
        <c:lblOffset val="100"/>
        <c:noMultiLvlLbl val="0"/>
      </c:catAx>
      <c:valAx>
        <c:axId val="122430208"/>
        <c:scaling>
          <c:orientation val="minMax"/>
        </c:scaling>
        <c:delete val="1"/>
        <c:axPos val="l"/>
        <c:numFmt formatCode="General" sourceLinked="1"/>
        <c:majorTickMark val="out"/>
        <c:minorTickMark val="none"/>
        <c:tickLblPos val="nextTo"/>
        <c:crossAx val="84839424"/>
        <c:crosses val="autoZero"/>
        <c:crossBetween val="between"/>
      </c:valAx>
    </c:plotArea>
    <c:legend>
      <c:legendPos val="b"/>
      <c:overlay val="0"/>
    </c:legend>
    <c:plotVisOnly val="1"/>
    <c:dispBlanksAs val="gap"/>
    <c:showDLblsOverMax val="0"/>
  </c:chart>
  <c:spPr>
    <a:ln>
      <a:noFill/>
    </a:ln>
  </c:spPr>
  <c:txPr>
    <a:bodyPr/>
    <a:lstStyle/>
    <a:p>
      <a:pPr>
        <a:defRPr sz="1200"/>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'mevsim ve takvim'!$A$2</c:f>
              <c:strCache>
                <c:ptCount val="1"/>
                <c:pt idx="0">
                  <c:v>2018</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117.96619846537928</c:v>
                </c:pt>
                <c:pt idx="1">
                  <c:v>116.85366615624602</c:v>
                </c:pt>
                <c:pt idx="2">
                  <c:v>116.54895051788159</c:v>
                </c:pt>
                <c:pt idx="3">
                  <c:v>117.23339825908292</c:v>
                </c:pt>
                <c:pt idx="4">
                  <c:v>115.83566565467443</c:v>
                </c:pt>
                <c:pt idx="5">
                  <c:v>113.14737572856828</c:v>
                </c:pt>
                <c:pt idx="6">
                  <c:v>117.26186095328816</c:v>
                </c:pt>
                <c:pt idx="7">
                  <c:v>115.28227196534941</c:v>
                </c:pt>
                <c:pt idx="8">
                  <c:v>112.86806264788002</c:v>
                </c:pt>
                <c:pt idx="9">
                  <c:v>110.36657396794413</c:v>
                </c:pt>
                <c:pt idx="10">
                  <c:v>110.03278412667112</c:v>
                </c:pt>
                <c:pt idx="11">
                  <c:v>108.67591758077646</c:v>
                </c:pt>
              </c:numCache>
            </c:numRef>
          </c:val>
          <c:smooth val="0"/>
          <c:extLst xmlns:c16r2="http://schemas.microsoft.com/office/drawing/2015/06/chart">
            <c:ext xmlns:c16="http://schemas.microsoft.com/office/drawing/2014/chart" uri="{C3380CC4-5D6E-409C-BE32-E72D297353CC}">
              <c16:uniqueId val="{00000000-64CE-4E7B-AB0D-8BC4ABBBA5B2}"/>
            </c:ext>
          </c:extLst>
        </c:ser>
        <c:ser>
          <c:idx val="1"/>
          <c:order val="1"/>
          <c:tx>
            <c:strRef>
              <c:f>'mevsim ve takvim'!$A$3</c:f>
              <c:strCache>
                <c:ptCount val="1"/>
                <c:pt idx="0">
                  <c:v>2019</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CE-4E7B-AB0D-8BC4ABBBA5B2}"/>
                </c:ext>
              </c:extLst>
            </c:dLbl>
            <c:dLbl>
              <c:idx val="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4CE-4E7B-AB0D-8BC4ABBBA5B2}"/>
                </c:ext>
              </c:extLst>
            </c:dLbl>
            <c:dLbl>
              <c:idx val="2"/>
              <c:layout>
                <c:manualLayout>
                  <c:x val="-2.5873221216041367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CE-4E7B-AB0D-8BC4ABBBA5B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takvim'!$B$3:$M$3</c:f>
              <c:numCache>
                <c:formatCode>0.0</c:formatCode>
                <c:ptCount val="12"/>
                <c:pt idx="0">
                  <c:v>109.73826516247864</c:v>
                </c:pt>
                <c:pt idx="1">
                  <c:v>111.27359605215791</c:v>
                </c:pt>
                <c:pt idx="2">
                  <c:v>113.64374786197536</c:v>
                </c:pt>
              </c:numCache>
            </c:numRef>
          </c:val>
          <c:smooth val="0"/>
          <c:extLst xmlns:c16r2="http://schemas.microsoft.com/office/drawing/2015/06/chart">
            <c:ext xmlns:c16="http://schemas.microsoft.com/office/drawing/2014/chart" uri="{C3380CC4-5D6E-409C-BE32-E72D297353CC}">
              <c16:uniqueId val="{00000004-64CE-4E7B-AB0D-8BC4ABBBA5B2}"/>
            </c:ext>
          </c:extLst>
        </c:ser>
        <c:dLbls>
          <c:showLegendKey val="0"/>
          <c:showVal val="0"/>
          <c:showCatName val="0"/>
          <c:showSerName val="0"/>
          <c:showPercent val="0"/>
          <c:showBubbleSize val="0"/>
        </c:dLbls>
        <c:marker val="1"/>
        <c:smooth val="0"/>
        <c:axId val="123113472"/>
        <c:axId val="123115008"/>
      </c:lineChart>
      <c:catAx>
        <c:axId val="123113472"/>
        <c:scaling>
          <c:orientation val="minMax"/>
        </c:scaling>
        <c:delete val="0"/>
        <c:axPos val="b"/>
        <c:numFmt formatCode="General" sourceLinked="0"/>
        <c:majorTickMark val="out"/>
        <c:minorTickMark val="none"/>
        <c:tickLblPos val="nextTo"/>
        <c:crossAx val="123115008"/>
        <c:crosses val="autoZero"/>
        <c:auto val="1"/>
        <c:lblAlgn val="ctr"/>
        <c:lblOffset val="100"/>
        <c:noMultiLvlLbl val="0"/>
      </c:catAx>
      <c:valAx>
        <c:axId val="123115008"/>
        <c:scaling>
          <c:orientation val="minMax"/>
        </c:scaling>
        <c:delete val="0"/>
        <c:axPos val="l"/>
        <c:numFmt formatCode="0.0" sourceLinked="1"/>
        <c:majorTickMark val="out"/>
        <c:minorTickMark val="none"/>
        <c:tickLblPos val="nextTo"/>
        <c:crossAx val="123113472"/>
        <c:crosses val="autoZero"/>
        <c:crossBetween val="between"/>
        <c:majorUnit val="5"/>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takvim!$B$9:$E$9</c:f>
              <c:numCache>
                <c:formatCode>General</c:formatCode>
                <c:ptCount val="4"/>
                <c:pt idx="0">
                  <c:v>2016</c:v>
                </c:pt>
                <c:pt idx="1">
                  <c:v>2017</c:v>
                </c:pt>
                <c:pt idx="2">
                  <c:v>2018</c:v>
                </c:pt>
                <c:pt idx="3">
                  <c:v>2019</c:v>
                </c:pt>
              </c:numCache>
            </c:numRef>
          </c:cat>
          <c:val>
            <c:numRef>
              <c:f>takvim!$B$10:$E$10</c:f>
              <c:numCache>
                <c:formatCode>0.0</c:formatCode>
                <c:ptCount val="4"/>
                <c:pt idx="0">
                  <c:v>103.06576851075336</c:v>
                </c:pt>
                <c:pt idx="1">
                  <c:v>109.70392945606839</c:v>
                </c:pt>
                <c:pt idx="2">
                  <c:v>117.77660472910507</c:v>
                </c:pt>
                <c:pt idx="3">
                  <c:v>115.22432505019357</c:v>
                </c:pt>
              </c:numCache>
            </c:numRef>
          </c:val>
          <c:smooth val="0"/>
          <c:extLst xmlns:c16r2="http://schemas.microsoft.com/office/drawing/2015/06/chart">
            <c:ext xmlns:c16="http://schemas.microsoft.com/office/drawing/2014/chart" uri="{C3380CC4-5D6E-409C-BE32-E72D297353CC}">
              <c16:uniqueId val="{00000000-5E9D-413C-A9CC-B5CB87D21224}"/>
            </c:ext>
          </c:extLst>
        </c:ser>
        <c:dLbls>
          <c:showLegendKey val="0"/>
          <c:showVal val="0"/>
          <c:showCatName val="0"/>
          <c:showSerName val="0"/>
          <c:showPercent val="0"/>
          <c:showBubbleSize val="0"/>
        </c:dLbls>
        <c:marker val="1"/>
        <c:smooth val="0"/>
        <c:axId val="123139968"/>
        <c:axId val="123141504"/>
      </c:lineChart>
      <c:catAx>
        <c:axId val="123139968"/>
        <c:scaling>
          <c:orientation val="minMax"/>
        </c:scaling>
        <c:delete val="0"/>
        <c:axPos val="b"/>
        <c:numFmt formatCode="General" sourceLinked="1"/>
        <c:majorTickMark val="out"/>
        <c:minorTickMark val="none"/>
        <c:tickLblPos val="nextTo"/>
        <c:crossAx val="123141504"/>
        <c:crosses val="autoZero"/>
        <c:auto val="1"/>
        <c:lblAlgn val="ctr"/>
        <c:lblOffset val="100"/>
        <c:noMultiLvlLbl val="0"/>
      </c:catAx>
      <c:valAx>
        <c:axId val="123141504"/>
        <c:scaling>
          <c:orientation val="minMax"/>
        </c:scaling>
        <c:delete val="0"/>
        <c:axPos val="l"/>
        <c:numFmt formatCode="0.0" sourceLinked="1"/>
        <c:majorTickMark val="out"/>
        <c:minorTickMark val="none"/>
        <c:tickLblPos val="nextTo"/>
        <c:crossAx val="123139968"/>
        <c:crosses val="autoZero"/>
        <c:crossBetween val="between"/>
      </c:valAx>
      <c:spPr>
        <a:ln>
          <a:noFill/>
        </a:ln>
      </c:spPr>
    </c:plotArea>
    <c:plotVisOnly val="1"/>
    <c:dispBlanksAs val="gap"/>
    <c:showDLblsOverMax val="0"/>
  </c:chart>
  <c:txPr>
    <a:bodyPr/>
    <a:lstStyle/>
    <a:p>
      <a:pPr>
        <a:defRPr b="1"/>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overlay val="0"/>
    </c:title>
    <c:autoTitleDeleted val="0"/>
    <c:plotArea>
      <c:layout/>
      <c:lineChart>
        <c:grouping val="standard"/>
        <c:varyColors val="0"/>
        <c:ser>
          <c:idx val="0"/>
          <c:order val="0"/>
          <c:marker>
            <c:symbol val="none"/>
          </c:marker>
          <c:cat>
            <c:multiLvlStrRef>
              <c:f>'GRAFİK DATA'!$B$110:$C$161</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2015</c:v>
                  </c:pt>
                  <c:pt idx="12">
                    <c:v>2016</c:v>
                  </c:pt>
                  <c:pt idx="24">
                    <c:v>2017</c:v>
                  </c:pt>
                  <c:pt idx="36">
                    <c:v>2018</c:v>
                  </c:pt>
                  <c:pt idx="48">
                    <c:v>2019</c:v>
                  </c:pt>
                </c:lvl>
              </c:multiLvlStrCache>
            </c:multiLvlStrRef>
          </c:cat>
          <c:val>
            <c:numRef>
              <c:f>'GRAFİK DATA'!$D$110:$D$161</c:f>
              <c:numCache>
                <c:formatCode>#,##0</c:formatCode>
                <c:ptCount val="52"/>
                <c:pt idx="0">
                  <c:v>6471</c:v>
                </c:pt>
                <c:pt idx="1">
                  <c:v>5509</c:v>
                </c:pt>
                <c:pt idx="2">
                  <c:v>6092</c:v>
                </c:pt>
                <c:pt idx="3">
                  <c:v>6022</c:v>
                </c:pt>
                <c:pt idx="4">
                  <c:v>5635</c:v>
                </c:pt>
                <c:pt idx="5">
                  <c:v>5896</c:v>
                </c:pt>
                <c:pt idx="6">
                  <c:v>4760</c:v>
                </c:pt>
                <c:pt idx="7">
                  <c:v>5027</c:v>
                </c:pt>
                <c:pt idx="8">
                  <c:v>5275</c:v>
                </c:pt>
                <c:pt idx="9">
                  <c:v>5201</c:v>
                </c:pt>
                <c:pt idx="10">
                  <c:v>5519</c:v>
                </c:pt>
                <c:pt idx="11">
                  <c:v>6215</c:v>
                </c:pt>
                <c:pt idx="12">
                  <c:v>6894</c:v>
                </c:pt>
                <c:pt idx="13">
                  <c:v>6364</c:v>
                </c:pt>
                <c:pt idx="14">
                  <c:v>7117</c:v>
                </c:pt>
                <c:pt idx="15">
                  <c:v>5860</c:v>
                </c:pt>
                <c:pt idx="16">
                  <c:v>5422</c:v>
                </c:pt>
                <c:pt idx="17">
                  <c:v>5486</c:v>
                </c:pt>
                <c:pt idx="18">
                  <c:v>3136</c:v>
                </c:pt>
                <c:pt idx="19">
                  <c:v>4353</c:v>
                </c:pt>
                <c:pt idx="20">
                  <c:v>3745</c:v>
                </c:pt>
                <c:pt idx="21">
                  <c:v>5362</c:v>
                </c:pt>
                <c:pt idx="22">
                  <c:v>5526</c:v>
                </c:pt>
                <c:pt idx="23">
                  <c:v>4885</c:v>
                </c:pt>
                <c:pt idx="24">
                  <c:v>6210</c:v>
                </c:pt>
                <c:pt idx="25">
                  <c:v>5618</c:v>
                </c:pt>
                <c:pt idx="26">
                  <c:v>6146</c:v>
                </c:pt>
                <c:pt idx="27">
                  <c:v>6447</c:v>
                </c:pt>
                <c:pt idx="28">
                  <c:v>6250</c:v>
                </c:pt>
                <c:pt idx="29">
                  <c:v>6039</c:v>
                </c:pt>
                <c:pt idx="30">
                  <c:v>5269</c:v>
                </c:pt>
                <c:pt idx="31">
                  <c:v>6674</c:v>
                </c:pt>
                <c:pt idx="32">
                  <c:v>5105</c:v>
                </c:pt>
                <c:pt idx="33">
                  <c:v>6992</c:v>
                </c:pt>
                <c:pt idx="34">
                  <c:v>6971</c:v>
                </c:pt>
                <c:pt idx="35">
                  <c:v>5998</c:v>
                </c:pt>
                <c:pt idx="36">
                  <c:v>9631</c:v>
                </c:pt>
                <c:pt idx="37">
                  <c:v>7167</c:v>
                </c:pt>
                <c:pt idx="38">
                  <c:v>7580</c:v>
                </c:pt>
                <c:pt idx="39">
                  <c:v>8563</c:v>
                </c:pt>
                <c:pt idx="40">
                  <c:v>8297</c:v>
                </c:pt>
                <c:pt idx="41">
                  <c:v>5599</c:v>
                </c:pt>
                <c:pt idx="42">
                  <c:v>6871</c:v>
                </c:pt>
                <c:pt idx="43">
                  <c:v>5536</c:v>
                </c:pt>
                <c:pt idx="44">
                  <c:v>6394</c:v>
                </c:pt>
                <c:pt idx="45">
                  <c:v>7160</c:v>
                </c:pt>
                <c:pt idx="46">
                  <c:v>7110</c:v>
                </c:pt>
                <c:pt idx="47">
                  <c:v>6441</c:v>
                </c:pt>
                <c:pt idx="48">
                  <c:v>8367</c:v>
                </c:pt>
                <c:pt idx="49">
                  <c:v>6772</c:v>
                </c:pt>
                <c:pt idx="50">
                  <c:v>7151</c:v>
                </c:pt>
                <c:pt idx="51">
                  <c:v>6789</c:v>
                </c:pt>
              </c:numCache>
            </c:numRef>
          </c:val>
          <c:smooth val="0"/>
          <c:extLst xmlns:c16r2="http://schemas.microsoft.com/office/drawing/2015/06/chart">
            <c:ext xmlns:c16="http://schemas.microsoft.com/office/drawing/2014/chart" uri="{C3380CC4-5D6E-409C-BE32-E72D297353CC}">
              <c16:uniqueId val="{00000000-FC5C-4889-8FB5-92E18E219E0E}"/>
            </c:ext>
          </c:extLst>
        </c:ser>
        <c:ser>
          <c:idx val="1"/>
          <c:order val="1"/>
          <c:marker>
            <c:symbol val="none"/>
          </c:marker>
          <c:cat>
            <c:multiLvlStrRef>
              <c:f>'GRAFİK DATA'!$B$110:$C$161</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2015</c:v>
                  </c:pt>
                  <c:pt idx="12">
                    <c:v>2016</c:v>
                  </c:pt>
                  <c:pt idx="24">
                    <c:v>2017</c:v>
                  </c:pt>
                  <c:pt idx="36">
                    <c:v>2018</c:v>
                  </c:pt>
                  <c:pt idx="48">
                    <c:v>2019</c:v>
                  </c:pt>
                </c:lvl>
              </c:multiLvlStrCache>
            </c:multiLvlStrRef>
          </c:cat>
          <c:val>
            <c:numRef>
              <c:f>'GRAFİK DATA'!$E$110:$E$161</c:f>
              <c:numCache>
                <c:formatCode>#,##0</c:formatCode>
                <c:ptCount val="52"/>
                <c:pt idx="0">
                  <c:v>5965</c:v>
                </c:pt>
                <c:pt idx="1">
                  <c:v>4129</c:v>
                </c:pt>
                <c:pt idx="2">
                  <c:v>4426</c:v>
                </c:pt>
                <c:pt idx="3">
                  <c:v>4307</c:v>
                </c:pt>
                <c:pt idx="4">
                  <c:v>3682</c:v>
                </c:pt>
                <c:pt idx="5">
                  <c:v>4024</c:v>
                </c:pt>
                <c:pt idx="6">
                  <c:v>2982</c:v>
                </c:pt>
                <c:pt idx="7">
                  <c:v>2940</c:v>
                </c:pt>
                <c:pt idx="8">
                  <c:v>2997</c:v>
                </c:pt>
                <c:pt idx="9">
                  <c:v>3109</c:v>
                </c:pt>
                <c:pt idx="10">
                  <c:v>3396</c:v>
                </c:pt>
                <c:pt idx="11">
                  <c:v>5112</c:v>
                </c:pt>
                <c:pt idx="12">
                  <c:v>4801</c:v>
                </c:pt>
                <c:pt idx="13">
                  <c:v>3935</c:v>
                </c:pt>
                <c:pt idx="14">
                  <c:v>4141</c:v>
                </c:pt>
                <c:pt idx="15">
                  <c:v>3758</c:v>
                </c:pt>
                <c:pt idx="16">
                  <c:v>3312</c:v>
                </c:pt>
                <c:pt idx="17">
                  <c:v>3409</c:v>
                </c:pt>
                <c:pt idx="18">
                  <c:v>1763</c:v>
                </c:pt>
                <c:pt idx="19">
                  <c:v>2813</c:v>
                </c:pt>
                <c:pt idx="20">
                  <c:v>2303</c:v>
                </c:pt>
                <c:pt idx="21">
                  <c:v>3049</c:v>
                </c:pt>
                <c:pt idx="22">
                  <c:v>3429</c:v>
                </c:pt>
                <c:pt idx="23">
                  <c:v>5259</c:v>
                </c:pt>
                <c:pt idx="24">
                  <c:v>5176</c:v>
                </c:pt>
                <c:pt idx="25">
                  <c:v>3861</c:v>
                </c:pt>
                <c:pt idx="26">
                  <c:v>4744</c:v>
                </c:pt>
                <c:pt idx="27">
                  <c:v>4510</c:v>
                </c:pt>
                <c:pt idx="28">
                  <c:v>4030</c:v>
                </c:pt>
                <c:pt idx="29">
                  <c:v>3374</c:v>
                </c:pt>
                <c:pt idx="30">
                  <c:v>2835</c:v>
                </c:pt>
                <c:pt idx="31">
                  <c:v>3251</c:v>
                </c:pt>
                <c:pt idx="32">
                  <c:v>2386</c:v>
                </c:pt>
                <c:pt idx="33">
                  <c:v>3060</c:v>
                </c:pt>
                <c:pt idx="34">
                  <c:v>3073</c:v>
                </c:pt>
                <c:pt idx="35">
                  <c:v>3937</c:v>
                </c:pt>
                <c:pt idx="36">
                  <c:v>4937</c:v>
                </c:pt>
                <c:pt idx="37">
                  <c:v>3136</c:v>
                </c:pt>
                <c:pt idx="38">
                  <c:v>3286</c:v>
                </c:pt>
                <c:pt idx="39">
                  <c:v>3895</c:v>
                </c:pt>
                <c:pt idx="40">
                  <c:v>3564</c:v>
                </c:pt>
                <c:pt idx="41">
                  <c:v>2117</c:v>
                </c:pt>
                <c:pt idx="42">
                  <c:v>2163</c:v>
                </c:pt>
                <c:pt idx="43">
                  <c:v>1808</c:v>
                </c:pt>
                <c:pt idx="44">
                  <c:v>2225</c:v>
                </c:pt>
                <c:pt idx="45">
                  <c:v>2417</c:v>
                </c:pt>
                <c:pt idx="46">
                  <c:v>2232</c:v>
                </c:pt>
                <c:pt idx="47">
                  <c:v>3331</c:v>
                </c:pt>
                <c:pt idx="48">
                  <c:v>3073</c:v>
                </c:pt>
                <c:pt idx="49">
                  <c:v>1794</c:v>
                </c:pt>
                <c:pt idx="50">
                  <c:v>1869</c:v>
                </c:pt>
                <c:pt idx="51">
                  <c:v>1828</c:v>
                </c:pt>
              </c:numCache>
            </c:numRef>
          </c:val>
          <c:smooth val="0"/>
          <c:extLst xmlns:c16r2="http://schemas.microsoft.com/office/drawing/2015/06/chart">
            <c:ext xmlns:c16="http://schemas.microsoft.com/office/drawing/2014/chart" uri="{C3380CC4-5D6E-409C-BE32-E72D297353CC}">
              <c16:uniqueId val="{00000001-FC5C-4889-8FB5-92E18E219E0E}"/>
            </c:ext>
          </c:extLst>
        </c:ser>
        <c:dLbls>
          <c:showLegendKey val="0"/>
          <c:showVal val="0"/>
          <c:showCatName val="0"/>
          <c:showSerName val="0"/>
          <c:showPercent val="0"/>
          <c:showBubbleSize val="0"/>
        </c:dLbls>
        <c:marker val="1"/>
        <c:smooth val="0"/>
        <c:axId val="63525248"/>
        <c:axId val="63526784"/>
      </c:lineChart>
      <c:catAx>
        <c:axId val="63525248"/>
        <c:scaling>
          <c:orientation val="minMax"/>
        </c:scaling>
        <c:delete val="0"/>
        <c:axPos val="b"/>
        <c:majorGridlines>
          <c:spPr>
            <a:ln w="3175">
              <a:solidFill>
                <a:schemeClr val="bg1">
                  <a:lumMod val="85000"/>
                </a:schemeClr>
              </a:solidFill>
              <a:prstDash val="lgDash"/>
            </a:ln>
          </c:spPr>
        </c:majorGridlines>
        <c:numFmt formatCode="General" sourceLinked="0"/>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63526784"/>
        <c:crosses val="autoZero"/>
        <c:auto val="1"/>
        <c:lblAlgn val="ctr"/>
        <c:lblOffset val="100"/>
        <c:tickLblSkip val="2"/>
        <c:tickMarkSkip val="1"/>
        <c:noMultiLvlLbl val="0"/>
      </c:catAx>
      <c:valAx>
        <c:axId val="63526784"/>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63525248"/>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overlay val="0"/>
    </c:title>
    <c:autoTitleDeleted val="0"/>
    <c:plotArea>
      <c:layout>
        <c:manualLayout>
          <c:layoutTarget val="inner"/>
          <c:xMode val="edge"/>
          <c:yMode val="edge"/>
          <c:x val="6.5842090493405309E-2"/>
          <c:y val="9.8085073297615177E-2"/>
          <c:w val="0.91067782564915234"/>
          <c:h val="0.77495695443814583"/>
        </c:manualLayout>
      </c:layout>
      <c:lineChart>
        <c:grouping val="standard"/>
        <c:varyColors val="0"/>
        <c:ser>
          <c:idx val="0"/>
          <c:order val="0"/>
          <c:spPr>
            <a:ln>
              <a:solidFill>
                <a:schemeClr val="tx1"/>
              </a:solidFill>
            </a:ln>
          </c:spPr>
          <c:marker>
            <c:symbol val="none"/>
          </c:marker>
          <c:cat>
            <c:multiLvlStrRef>
              <c:f>'GRAFİK DATA'!$B$110:$C$161</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2015</c:v>
                  </c:pt>
                  <c:pt idx="12">
                    <c:v>2016</c:v>
                  </c:pt>
                  <c:pt idx="24">
                    <c:v>2017</c:v>
                  </c:pt>
                  <c:pt idx="36">
                    <c:v>2018</c:v>
                  </c:pt>
                  <c:pt idx="48">
                    <c:v>2019</c:v>
                  </c:pt>
                </c:lvl>
              </c:multiLvlStrCache>
            </c:multiLvlStrRef>
          </c:cat>
          <c:val>
            <c:numRef>
              <c:f>'GRAFİK DATA'!$F$110:$F$161</c:f>
              <c:numCache>
                <c:formatCode>#,##0</c:formatCode>
                <c:ptCount val="52"/>
                <c:pt idx="0">
                  <c:v>2734</c:v>
                </c:pt>
                <c:pt idx="1">
                  <c:v>1091</c:v>
                </c:pt>
                <c:pt idx="2">
                  <c:v>1000</c:v>
                </c:pt>
                <c:pt idx="3">
                  <c:v>992</c:v>
                </c:pt>
                <c:pt idx="4">
                  <c:v>712</c:v>
                </c:pt>
                <c:pt idx="5">
                  <c:v>980</c:v>
                </c:pt>
                <c:pt idx="6">
                  <c:v>1053</c:v>
                </c:pt>
                <c:pt idx="7">
                  <c:v>760</c:v>
                </c:pt>
                <c:pt idx="8">
                  <c:v>774</c:v>
                </c:pt>
                <c:pt idx="9">
                  <c:v>755</c:v>
                </c:pt>
                <c:pt idx="10">
                  <c:v>811</c:v>
                </c:pt>
                <c:pt idx="11">
                  <c:v>2039</c:v>
                </c:pt>
                <c:pt idx="12">
                  <c:v>2178</c:v>
                </c:pt>
                <c:pt idx="13">
                  <c:v>867</c:v>
                </c:pt>
                <c:pt idx="14">
                  <c:v>780</c:v>
                </c:pt>
                <c:pt idx="15">
                  <c:v>691</c:v>
                </c:pt>
                <c:pt idx="16">
                  <c:v>581</c:v>
                </c:pt>
                <c:pt idx="17">
                  <c:v>786</c:v>
                </c:pt>
                <c:pt idx="18">
                  <c:v>602</c:v>
                </c:pt>
                <c:pt idx="19">
                  <c:v>689</c:v>
                </c:pt>
                <c:pt idx="20">
                  <c:v>903</c:v>
                </c:pt>
                <c:pt idx="21">
                  <c:v>1096</c:v>
                </c:pt>
                <c:pt idx="22">
                  <c:v>1073</c:v>
                </c:pt>
                <c:pt idx="23">
                  <c:v>1896</c:v>
                </c:pt>
                <c:pt idx="24">
                  <c:v>1929</c:v>
                </c:pt>
                <c:pt idx="25">
                  <c:v>815</c:v>
                </c:pt>
                <c:pt idx="26">
                  <c:v>720</c:v>
                </c:pt>
                <c:pt idx="27">
                  <c:v>810</c:v>
                </c:pt>
                <c:pt idx="28">
                  <c:v>861</c:v>
                </c:pt>
                <c:pt idx="29">
                  <c:v>1112</c:v>
                </c:pt>
                <c:pt idx="30">
                  <c:v>1211</c:v>
                </c:pt>
                <c:pt idx="31">
                  <c:v>1313</c:v>
                </c:pt>
                <c:pt idx="32">
                  <c:v>951</c:v>
                </c:pt>
                <c:pt idx="33">
                  <c:v>1375</c:v>
                </c:pt>
                <c:pt idx="34">
                  <c:v>1228</c:v>
                </c:pt>
                <c:pt idx="35">
                  <c:v>2163</c:v>
                </c:pt>
                <c:pt idx="36">
                  <c:v>2417</c:v>
                </c:pt>
                <c:pt idx="37">
                  <c:v>682</c:v>
                </c:pt>
                <c:pt idx="38">
                  <c:v>780</c:v>
                </c:pt>
                <c:pt idx="39">
                  <c:v>623</c:v>
                </c:pt>
                <c:pt idx="40">
                  <c:v>652</c:v>
                </c:pt>
                <c:pt idx="41">
                  <c:v>752</c:v>
                </c:pt>
                <c:pt idx="42">
                  <c:v>1017</c:v>
                </c:pt>
                <c:pt idx="43">
                  <c:v>954</c:v>
                </c:pt>
                <c:pt idx="44">
                  <c:v>1183</c:v>
                </c:pt>
                <c:pt idx="45">
                  <c:v>1235</c:v>
                </c:pt>
                <c:pt idx="46">
                  <c:v>1112</c:v>
                </c:pt>
                <c:pt idx="47">
                  <c:v>2186</c:v>
                </c:pt>
                <c:pt idx="48">
                  <c:v>2092</c:v>
                </c:pt>
                <c:pt idx="49">
                  <c:v>665</c:v>
                </c:pt>
                <c:pt idx="50">
                  <c:v>693</c:v>
                </c:pt>
                <c:pt idx="51">
                  <c:v>776</c:v>
                </c:pt>
              </c:numCache>
            </c:numRef>
          </c:val>
          <c:smooth val="0"/>
          <c:extLst xmlns:c16r2="http://schemas.microsoft.com/office/drawing/2015/06/chart">
            <c:ext xmlns:c16="http://schemas.microsoft.com/office/drawing/2014/chart" uri="{C3380CC4-5D6E-409C-BE32-E72D297353CC}">
              <c16:uniqueId val="{00000000-B272-4CB8-9A9E-0A9AD5FBC04C}"/>
            </c:ext>
          </c:extLst>
        </c:ser>
        <c:ser>
          <c:idx val="1"/>
          <c:order val="1"/>
          <c:spPr>
            <a:ln>
              <a:solidFill>
                <a:schemeClr val="bg1">
                  <a:lumMod val="65000"/>
                </a:schemeClr>
              </a:solidFill>
              <a:prstDash val="solid"/>
            </a:ln>
          </c:spPr>
          <c:marker>
            <c:symbol val="none"/>
          </c:marker>
          <c:cat>
            <c:multiLvlStrRef>
              <c:f>'GRAFİK DATA'!$B$110:$C$161</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2015</c:v>
                  </c:pt>
                  <c:pt idx="12">
                    <c:v>2016</c:v>
                  </c:pt>
                  <c:pt idx="24">
                    <c:v>2017</c:v>
                  </c:pt>
                  <c:pt idx="36">
                    <c:v>2018</c:v>
                  </c:pt>
                  <c:pt idx="48">
                    <c:v>2019</c:v>
                  </c:pt>
                </c:lvl>
              </c:multiLvlStrCache>
            </c:multiLvlStrRef>
          </c:cat>
          <c:val>
            <c:numRef>
              <c:f>'GRAFİK DATA'!$G$110:$G$161</c:f>
              <c:numCache>
                <c:formatCode>#,##0</c:formatCode>
                <c:ptCount val="52"/>
                <c:pt idx="0">
                  <c:v>3174</c:v>
                </c:pt>
                <c:pt idx="1">
                  <c:v>1975</c:v>
                </c:pt>
                <c:pt idx="2">
                  <c:v>1499</c:v>
                </c:pt>
                <c:pt idx="3">
                  <c:v>1363</c:v>
                </c:pt>
                <c:pt idx="4">
                  <c:v>1118</c:v>
                </c:pt>
                <c:pt idx="5">
                  <c:v>1442</c:v>
                </c:pt>
                <c:pt idx="6">
                  <c:v>1731</c:v>
                </c:pt>
                <c:pt idx="7">
                  <c:v>1267</c:v>
                </c:pt>
                <c:pt idx="8">
                  <c:v>1090</c:v>
                </c:pt>
                <c:pt idx="9">
                  <c:v>1201</c:v>
                </c:pt>
                <c:pt idx="10">
                  <c:v>1289</c:v>
                </c:pt>
                <c:pt idx="11">
                  <c:v>1910</c:v>
                </c:pt>
                <c:pt idx="12">
                  <c:v>2692</c:v>
                </c:pt>
                <c:pt idx="13">
                  <c:v>2027</c:v>
                </c:pt>
                <c:pt idx="14">
                  <c:v>1654</c:v>
                </c:pt>
                <c:pt idx="15">
                  <c:v>1214</c:v>
                </c:pt>
                <c:pt idx="16">
                  <c:v>1071</c:v>
                </c:pt>
                <c:pt idx="17">
                  <c:v>1409</c:v>
                </c:pt>
                <c:pt idx="18">
                  <c:v>1128</c:v>
                </c:pt>
                <c:pt idx="19">
                  <c:v>1132</c:v>
                </c:pt>
                <c:pt idx="20">
                  <c:v>971</c:v>
                </c:pt>
                <c:pt idx="21">
                  <c:v>1774</c:v>
                </c:pt>
                <c:pt idx="22">
                  <c:v>2363</c:v>
                </c:pt>
                <c:pt idx="23">
                  <c:v>2171</c:v>
                </c:pt>
                <c:pt idx="24">
                  <c:v>2847</c:v>
                </c:pt>
                <c:pt idx="25">
                  <c:v>1826</c:v>
                </c:pt>
                <c:pt idx="26">
                  <c:v>1225</c:v>
                </c:pt>
                <c:pt idx="27">
                  <c:v>1144</c:v>
                </c:pt>
                <c:pt idx="28">
                  <c:v>1257</c:v>
                </c:pt>
                <c:pt idx="29">
                  <c:v>1569</c:v>
                </c:pt>
                <c:pt idx="30">
                  <c:v>1567</c:v>
                </c:pt>
                <c:pt idx="31">
                  <c:v>1286</c:v>
                </c:pt>
                <c:pt idx="32">
                  <c:v>852</c:v>
                </c:pt>
                <c:pt idx="33">
                  <c:v>1290</c:v>
                </c:pt>
                <c:pt idx="34">
                  <c:v>1443</c:v>
                </c:pt>
                <c:pt idx="35">
                  <c:v>1704</c:v>
                </c:pt>
                <c:pt idx="36">
                  <c:v>2803</c:v>
                </c:pt>
                <c:pt idx="37">
                  <c:v>1958</c:v>
                </c:pt>
                <c:pt idx="38">
                  <c:v>1282</c:v>
                </c:pt>
                <c:pt idx="39">
                  <c:v>1120</c:v>
                </c:pt>
                <c:pt idx="40">
                  <c:v>988</c:v>
                </c:pt>
                <c:pt idx="41">
                  <c:v>1206</c:v>
                </c:pt>
                <c:pt idx="42">
                  <c:v>2084</c:v>
                </c:pt>
                <c:pt idx="43">
                  <c:v>2010</c:v>
                </c:pt>
                <c:pt idx="44">
                  <c:v>1085</c:v>
                </c:pt>
                <c:pt idx="45">
                  <c:v>1260</c:v>
                </c:pt>
                <c:pt idx="46">
                  <c:v>1406</c:v>
                </c:pt>
                <c:pt idx="47">
                  <c:v>1774</c:v>
                </c:pt>
                <c:pt idx="48">
                  <c:v>2987</c:v>
                </c:pt>
                <c:pt idx="49">
                  <c:v>2219</c:v>
                </c:pt>
                <c:pt idx="50">
                  <c:v>1634</c:v>
                </c:pt>
                <c:pt idx="51">
                  <c:v>1265</c:v>
                </c:pt>
              </c:numCache>
            </c:numRef>
          </c:val>
          <c:smooth val="0"/>
          <c:extLst xmlns:c16r2="http://schemas.microsoft.com/office/drawing/2015/06/chart">
            <c:ext xmlns:c16="http://schemas.microsoft.com/office/drawing/2014/chart" uri="{C3380CC4-5D6E-409C-BE32-E72D297353CC}">
              <c16:uniqueId val="{00000001-B272-4CB8-9A9E-0A9AD5FBC04C}"/>
            </c:ext>
          </c:extLst>
        </c:ser>
        <c:dLbls>
          <c:showLegendKey val="0"/>
          <c:showVal val="0"/>
          <c:showCatName val="0"/>
          <c:showSerName val="0"/>
          <c:showPercent val="0"/>
          <c:showBubbleSize val="0"/>
        </c:dLbls>
        <c:marker val="1"/>
        <c:smooth val="0"/>
        <c:axId val="63560704"/>
        <c:axId val="77660928"/>
      </c:lineChart>
      <c:catAx>
        <c:axId val="63560704"/>
        <c:scaling>
          <c:orientation val="minMax"/>
        </c:scaling>
        <c:delete val="0"/>
        <c:axPos val="b"/>
        <c:majorGridlines>
          <c:spPr>
            <a:ln w="3175">
              <a:solidFill>
                <a:schemeClr val="bg1">
                  <a:lumMod val="85000"/>
                </a:schemeClr>
              </a:solidFill>
              <a:prstDash val="lgDash"/>
            </a:ln>
          </c:spPr>
        </c:majorGridlines>
        <c:numFmt formatCode="General" sourceLinked="1"/>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77660928"/>
        <c:crosses val="autoZero"/>
        <c:auto val="1"/>
        <c:lblAlgn val="ctr"/>
        <c:lblOffset val="100"/>
        <c:tickLblSkip val="2"/>
        <c:tickMarkSkip val="1"/>
        <c:noMultiLvlLbl val="0"/>
      </c:catAx>
      <c:valAx>
        <c:axId val="77660928"/>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63560704"/>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51557093425642E-2"/>
          <c:y val="0.27893175074183979"/>
          <c:w val="0.8837918096776366"/>
          <c:h val="0.55029857843332464"/>
        </c:manualLayout>
      </c:layout>
      <c:lineChart>
        <c:grouping val="standard"/>
        <c:varyColors val="0"/>
        <c:ser>
          <c:idx val="1"/>
          <c:order val="0"/>
          <c:tx>
            <c:strRef>
              <c:f>'TEPAV Perakende Güven Endeksi'!$A$3</c:f>
              <c:strCache>
                <c:ptCount val="1"/>
                <c:pt idx="0">
                  <c:v> TEPE</c:v>
                </c:pt>
              </c:strCache>
            </c:strRef>
          </c:tx>
          <c:spPr>
            <a:ln w="38100">
              <a:solidFill>
                <a:srgbClr val="FF0000"/>
              </a:solidFill>
            </a:ln>
          </c:spPr>
          <c:marker>
            <c:symbol val="none"/>
          </c:marker>
          <c:cat>
            <c:numRef>
              <c:f>'TEPAV Perakende Güven Endeksi'!$DQ$1:$EC$1</c:f>
              <c:numCache>
                <c:formatCode>[$-41F]mmmm\ yy;@</c:formatCode>
                <c:ptCount val="13"/>
                <c:pt idx="0">
                  <c:v>43193</c:v>
                </c:pt>
                <c:pt idx="1">
                  <c:v>43223</c:v>
                </c:pt>
                <c:pt idx="2">
                  <c:v>43254</c:v>
                </c:pt>
                <c:pt idx="3">
                  <c:v>43284</c:v>
                </c:pt>
                <c:pt idx="4">
                  <c:v>43315</c:v>
                </c:pt>
                <c:pt idx="5">
                  <c:v>43346</c:v>
                </c:pt>
                <c:pt idx="6">
                  <c:v>43376</c:v>
                </c:pt>
                <c:pt idx="7">
                  <c:v>43407</c:v>
                </c:pt>
                <c:pt idx="8">
                  <c:v>43437</c:v>
                </c:pt>
                <c:pt idx="9">
                  <c:v>43468</c:v>
                </c:pt>
                <c:pt idx="10">
                  <c:v>43499</c:v>
                </c:pt>
                <c:pt idx="11">
                  <c:v>43527</c:v>
                </c:pt>
                <c:pt idx="12">
                  <c:v>43558</c:v>
                </c:pt>
              </c:numCache>
            </c:numRef>
          </c:cat>
          <c:val>
            <c:numRef>
              <c:f>'TEPAV Perakende Güven Endeksi'!$DQ$3:$EC$3</c:f>
              <c:numCache>
                <c:formatCode>0.0</c:formatCode>
                <c:ptCount val="13"/>
                <c:pt idx="0">
                  <c:v>-15.506356109612328</c:v>
                </c:pt>
                <c:pt idx="1">
                  <c:v>-16.0673431841835</c:v>
                </c:pt>
                <c:pt idx="2">
                  <c:v>-15.170081815467119</c:v>
                </c:pt>
                <c:pt idx="3">
                  <c:v>-11.514340425221944</c:v>
                </c:pt>
                <c:pt idx="4">
                  <c:v>-15.264410521330133</c:v>
                </c:pt>
                <c:pt idx="5">
                  <c:v>-15.608024920067868</c:v>
                </c:pt>
                <c:pt idx="6">
                  <c:v>-15.932149155728069</c:v>
                </c:pt>
                <c:pt idx="7">
                  <c:v>-17.230821356442402</c:v>
                </c:pt>
                <c:pt idx="8">
                  <c:v>-6.208859709822967</c:v>
                </c:pt>
                <c:pt idx="9">
                  <c:v>-18.114874644505168</c:v>
                </c:pt>
                <c:pt idx="10">
                  <c:v>-25.648218090037432</c:v>
                </c:pt>
                <c:pt idx="11">
                  <c:v>-14.977967761309168</c:v>
                </c:pt>
                <c:pt idx="12">
                  <c:v>-19.507158198319434</c:v>
                </c:pt>
              </c:numCache>
            </c:numRef>
          </c:val>
          <c:smooth val="0"/>
          <c:extLst xmlns:c16r2="http://schemas.microsoft.com/office/drawing/2015/06/chart">
            <c:ext xmlns:c16="http://schemas.microsoft.com/office/drawing/2014/chart" uri="{C3380CC4-5D6E-409C-BE32-E72D297353CC}">
              <c16:uniqueId val="{00000000-6B8F-47F7-8965-B142C2511D7D}"/>
            </c:ext>
          </c:extLst>
        </c:ser>
        <c:dLbls>
          <c:showLegendKey val="0"/>
          <c:showVal val="0"/>
          <c:showCatName val="0"/>
          <c:showSerName val="0"/>
          <c:showPercent val="0"/>
          <c:showBubbleSize val="0"/>
        </c:dLbls>
        <c:marker val="1"/>
        <c:smooth val="0"/>
        <c:axId val="77677696"/>
        <c:axId val="77679232"/>
      </c:lineChart>
      <c:dateAx>
        <c:axId val="77677696"/>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lang="en-US" b="1" i="0" baseline="0"/>
            </a:pPr>
            <a:endParaRPr lang="tr-TR"/>
          </a:p>
        </c:txPr>
        <c:crossAx val="77679232"/>
        <c:crosses val="autoZero"/>
        <c:auto val="1"/>
        <c:lblOffset val="100"/>
        <c:baseTimeUnit val="months"/>
      </c:dateAx>
      <c:valAx>
        <c:axId val="77679232"/>
        <c:scaling>
          <c:orientation val="minMax"/>
        </c:scaling>
        <c:delete val="0"/>
        <c:axPos val="l"/>
        <c:majorGridlines>
          <c:spPr>
            <a:ln w="3175">
              <a:prstDash val="dash"/>
            </a:ln>
          </c:spPr>
        </c:majorGridlines>
        <c:numFmt formatCode="0.0" sourceLinked="0"/>
        <c:majorTickMark val="out"/>
        <c:minorTickMark val="none"/>
        <c:tickLblPos val="nextTo"/>
        <c:spPr>
          <a:ln w="19050">
            <a:solidFill>
              <a:sysClr val="windowText" lastClr="000000"/>
            </a:solidFill>
          </a:ln>
        </c:spPr>
        <c:txPr>
          <a:bodyPr/>
          <a:lstStyle/>
          <a:p>
            <a:pPr>
              <a:defRPr lang="en-US" b="1" i="0" baseline="0"/>
            </a:pPr>
            <a:endParaRPr lang="tr-TR"/>
          </a:p>
        </c:txPr>
        <c:crossAx val="77677696"/>
        <c:crosses val="autoZero"/>
        <c:crossBetween val="between"/>
      </c:valAx>
    </c:plotArea>
    <c:legend>
      <c:legendPos val="b"/>
      <c:layout>
        <c:manualLayout>
          <c:xMode val="edge"/>
          <c:yMode val="edge"/>
          <c:x val="0.13283048460405861"/>
          <c:y val="0.8963273340832395"/>
          <c:w val="0.75723689264451721"/>
          <c:h val="8.9078391063186074E-2"/>
        </c:manualLayout>
      </c:layout>
      <c:overlay val="0"/>
      <c:txPr>
        <a:bodyPr/>
        <a:lstStyle/>
        <a:p>
          <a:pPr>
            <a:defRPr lang="en-US"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0"/>
                  <c:y val="7.866273352999213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6C-4B26-9185-5EB7FD397D8B}"/>
                </c:ext>
              </c:extLst>
            </c:dLbl>
            <c:dLbl>
              <c:idx val="1"/>
              <c:layout>
                <c:manualLayout>
                  <c:x val="0"/>
                  <c:y val="1.18003391169024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6C-4B26-9185-5EB7FD397D8B}"/>
                </c:ext>
              </c:extLst>
            </c:dLbl>
            <c:dLbl>
              <c:idx val="2"/>
              <c:layout>
                <c:manualLayout>
                  <c:x val="2.140241729043129E-3"/>
                  <c:y val="1.57334757934019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6C-4B26-9185-5EB7FD397D8B}"/>
                </c:ext>
              </c:extLst>
            </c:dLbl>
            <c:dLbl>
              <c:idx val="3"/>
              <c:layout>
                <c:manualLayout>
                  <c:x val="0"/>
                  <c:y val="1.18015779001079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6C-4B26-9185-5EB7FD397D8B}"/>
                </c:ext>
              </c:extLst>
            </c:dLbl>
            <c:dLbl>
              <c:idx val="4"/>
              <c:layout>
                <c:manualLayout>
                  <c:x val="8.2628560318849325E-5"/>
                  <c:y val="1.1799719725299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56C-4B26-9185-5EB7FD397D8B}"/>
                </c:ext>
              </c:extLst>
            </c:dLbl>
            <c:dLbl>
              <c:idx val="5"/>
              <c:layout>
                <c:manualLayout>
                  <c:x val="0"/>
                  <c:y val="1.18000294211013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6C-4B26-9185-5EB7FD397D8B}"/>
                </c:ext>
              </c:extLst>
            </c:dLbl>
            <c:dLbl>
              <c:idx val="6"/>
              <c:layout>
                <c:manualLayout>
                  <c:x val="0"/>
                  <c:y val="1.1799719725299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56C-4B26-9185-5EB7FD397D8B}"/>
                </c:ext>
              </c:extLst>
            </c:dLbl>
            <c:numFmt formatCode="0.0" sourceLinked="0"/>
            <c:spPr>
              <a:noFill/>
              <a:ln>
                <a:noFill/>
              </a:ln>
              <a:effectLst/>
            </c:spPr>
            <c:txPr>
              <a:bodyPr/>
              <a:lstStyle/>
              <a:p>
                <a:pPr>
                  <a:defRPr lang="en-US" b="1"/>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'1-2-4'!$AZ$75:$AZ$81</c:f>
              <c:strCache>
                <c:ptCount val="7"/>
                <c:pt idx="0">
                  <c:v>BYS mobilya, aydınlatma ekipmanı ve ev içi kullanım ürünleri </c:v>
                </c:pt>
                <c:pt idx="1">
                  <c:v>Elektrikli ev aletleri, radyo ve televizyonlar</c:v>
                </c:pt>
                <c:pt idx="2">
                  <c:v>Yiyecek, içecek ve tütün ürünleri </c:v>
                </c:pt>
                <c:pt idx="3">
                  <c:v>Birden fazla türde ürün satan bakkal, market ve büyük mağazalar </c:v>
                </c:pt>
                <c:pt idx="4">
                  <c:v>Diğer</c:v>
                </c:pt>
                <c:pt idx="5">
                  <c:v>Motorlu taşıtlar</c:v>
                </c:pt>
                <c:pt idx="6">
                  <c:v>Tekstil, hazır giyim ve ayakkabı</c:v>
                </c:pt>
              </c:strCache>
            </c:strRef>
          </c:cat>
          <c:val>
            <c:numRef>
              <c:f>'1-2-4'!$BA$75:$BA$81</c:f>
              <c:numCache>
                <c:formatCode>0.0</c:formatCode>
                <c:ptCount val="7"/>
                <c:pt idx="0">
                  <c:v>13.75765250558122</c:v>
                </c:pt>
                <c:pt idx="1">
                  <c:v>2.7931422169857925</c:v>
                </c:pt>
                <c:pt idx="2">
                  <c:v>0.77655633343430708</c:v>
                </c:pt>
                <c:pt idx="3">
                  <c:v>-2.7887183292469793</c:v>
                </c:pt>
                <c:pt idx="4">
                  <c:v>-5.5304271849749398</c:v>
                </c:pt>
                <c:pt idx="5">
                  <c:v>-6.3486112166099353</c:v>
                </c:pt>
                <c:pt idx="6">
                  <c:v>-11.252715075535365</c:v>
                </c:pt>
              </c:numCache>
            </c:numRef>
          </c:val>
          <c:extLst xmlns:c16r2="http://schemas.microsoft.com/office/drawing/2015/06/chart">
            <c:ext xmlns:c16="http://schemas.microsoft.com/office/drawing/2014/chart" uri="{C3380CC4-5D6E-409C-BE32-E72D297353CC}">
              <c16:uniqueId val="{00000007-556C-4B26-9185-5EB7FD397D8B}"/>
            </c:ext>
          </c:extLst>
        </c:ser>
        <c:dLbls>
          <c:showLegendKey val="0"/>
          <c:showVal val="0"/>
          <c:showCatName val="0"/>
          <c:showSerName val="0"/>
          <c:showPercent val="0"/>
          <c:showBubbleSize val="0"/>
        </c:dLbls>
        <c:gapWidth val="150"/>
        <c:axId val="77715712"/>
        <c:axId val="77721600"/>
      </c:barChart>
      <c:catAx>
        <c:axId val="77715712"/>
        <c:scaling>
          <c:orientation val="minMax"/>
        </c:scaling>
        <c:delete val="0"/>
        <c:axPos val="b"/>
        <c:numFmt formatCode="General" sourceLinked="0"/>
        <c:majorTickMark val="out"/>
        <c:minorTickMark val="none"/>
        <c:tickLblPos val="low"/>
        <c:spPr>
          <a:ln w="19050">
            <a:solidFill>
              <a:sysClr val="windowText" lastClr="000000"/>
            </a:solidFill>
          </a:ln>
        </c:spPr>
        <c:txPr>
          <a:bodyPr/>
          <a:lstStyle/>
          <a:p>
            <a:pPr>
              <a:defRPr lang="en-US" sz="900" b="1" baseline="0"/>
            </a:pPr>
            <a:endParaRPr lang="tr-TR"/>
          </a:p>
        </c:txPr>
        <c:crossAx val="77721600"/>
        <c:crosses val="autoZero"/>
        <c:auto val="1"/>
        <c:lblAlgn val="ctr"/>
        <c:lblOffset val="100"/>
        <c:noMultiLvlLbl val="0"/>
      </c:catAx>
      <c:valAx>
        <c:axId val="77721600"/>
        <c:scaling>
          <c:orientation val="minMax"/>
        </c:scaling>
        <c:delete val="0"/>
        <c:axPos val="l"/>
        <c:numFmt formatCode="0.0" sourceLinked="1"/>
        <c:majorTickMark val="out"/>
        <c:minorTickMark val="none"/>
        <c:tickLblPos val="nextTo"/>
        <c:spPr>
          <a:ln w="19050">
            <a:solidFill>
              <a:schemeClr val="tx1"/>
            </a:solidFill>
          </a:ln>
        </c:spPr>
        <c:txPr>
          <a:bodyPr/>
          <a:lstStyle/>
          <a:p>
            <a:pPr>
              <a:defRPr lang="en-US" b="1" i="0" baseline="0"/>
            </a:pPr>
            <a:endParaRPr lang="tr-TR"/>
          </a:p>
        </c:txPr>
        <c:crossAx val="7771571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0.07637</cdr:x>
      <cdr:y>0.47579</cdr:y>
    </cdr:from>
    <cdr:to>
      <cdr:x>0.97532</cdr:x>
      <cdr:y>0.47663</cdr:y>
    </cdr:to>
    <cdr:sp macro="" textlink="">
      <cdr:nvSpPr>
        <cdr:cNvPr id="2" name="2 Düz Bağlayıcı"/>
        <cdr:cNvSpPr/>
      </cdr:nvSpPr>
      <cdr:spPr>
        <a:xfrm xmlns:a="http://schemas.openxmlformats.org/drawingml/2006/main" flipV="1">
          <a:off x="460759" y="1536303"/>
          <a:ext cx="5423867" cy="2712"/>
        </a:xfrm>
        <a:prstGeom xmlns:a="http://schemas.openxmlformats.org/drawingml/2006/main" prst="line">
          <a:avLst/>
        </a:prstGeom>
        <a:noFill xmlns:a="http://schemas.openxmlformats.org/drawingml/2006/main"/>
        <a:ln xmlns:a="http://schemas.openxmlformats.org/drawingml/2006/main" w="15875" cap="flat" cmpd="sng" algn="ctr">
          <a:solidFill>
            <a:srgbClr val="FF0000"/>
          </a:solidFill>
          <a:prstDash val="sys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tr-TR"/>
        </a:p>
      </cdr:txBody>
    </cdr:sp>
  </cdr:relSizeAnchor>
  <cdr:relSizeAnchor xmlns:cdr="http://schemas.openxmlformats.org/drawingml/2006/chartDrawing">
    <cdr:from>
      <cdr:x>0.78667</cdr:x>
      <cdr:y>0.40191</cdr:y>
    </cdr:from>
    <cdr:to>
      <cdr:x>0.91732</cdr:x>
      <cdr:y>0.46253</cdr:y>
    </cdr:to>
    <cdr:sp macro="" textlink="">
      <cdr:nvSpPr>
        <cdr:cNvPr id="3" name="3 Metin kutusu"/>
        <cdr:cNvSpPr txBox="1"/>
      </cdr:nvSpPr>
      <cdr:spPr>
        <a:xfrm xmlns:a="http://schemas.openxmlformats.org/drawingml/2006/main">
          <a:off x="4746432" y="1297752"/>
          <a:ext cx="788284" cy="1957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1100">
              <a:solidFill>
                <a:srgbClr val="FF0000"/>
              </a:solidFill>
            </a:rPr>
            <a:t>Ortalama</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E43C-0879-45E6-B9D3-A2061812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6786</Words>
  <Characters>38681</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 Erkan OKTAY</dc:creator>
  <cp:lastModifiedBy>1</cp:lastModifiedBy>
  <cp:revision>2</cp:revision>
  <dcterms:created xsi:type="dcterms:W3CDTF">2019-06-28T13:33:00Z</dcterms:created>
  <dcterms:modified xsi:type="dcterms:W3CDTF">2019-06-28T13:33:00Z</dcterms:modified>
</cp:coreProperties>
</file>